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1"/>
      </w:tblGrid>
      <w:tr w:rsidR="009D6685" w:rsidRPr="00843FAB" w:rsidTr="00DC0D2F">
        <w:tc>
          <w:tcPr>
            <w:tcW w:w="9261" w:type="dxa"/>
            <w:shd w:val="pct10" w:color="auto" w:fill="FFFFFF"/>
          </w:tcPr>
          <w:p w:rsidR="009D6685" w:rsidRPr="000A2814" w:rsidRDefault="009D6685" w:rsidP="00E82CCA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  <w:lang w:val="en-GB"/>
              </w:rPr>
            </w:pPr>
            <w:r w:rsidRPr="000A2814">
              <w:rPr>
                <w:rFonts w:ascii="Verdana" w:eastAsia="SimSun" w:hAnsi="Verdana"/>
                <w:sz w:val="20"/>
                <w:lang w:val="en-GB"/>
              </w:rPr>
              <w:t>UNIVERSITY OF NOTTINGHAM</w:t>
            </w:r>
          </w:p>
          <w:p w:rsidR="009D6685" w:rsidRPr="000A2814" w:rsidRDefault="00235BFA" w:rsidP="00E82CCA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  <w:lang w:val="en-GB"/>
              </w:rPr>
            </w:pPr>
            <w:r w:rsidRPr="000A2814">
              <w:rPr>
                <w:rFonts w:ascii="Verdana" w:eastAsia="SimSun" w:hAnsi="Verdana"/>
                <w:sz w:val="20"/>
                <w:lang w:val="en-GB"/>
              </w:rPr>
              <w:t>RECRUITMENT ROLE PROFILE FORM</w:t>
            </w:r>
          </w:p>
        </w:tc>
      </w:tr>
    </w:tbl>
    <w:p w:rsidR="007A13B6" w:rsidRDefault="007A13B6">
      <w:pPr>
        <w:rPr>
          <w:rFonts w:ascii="Verdana" w:hAnsi="Verdana"/>
        </w:rPr>
      </w:pPr>
    </w:p>
    <w:p w:rsidR="00BE2023" w:rsidRPr="00EC2561" w:rsidRDefault="00BE2023">
      <w:pPr>
        <w:rPr>
          <w:rFonts w:ascii="Verdana" w:hAnsi="Verdana"/>
        </w:rPr>
      </w:pPr>
    </w:p>
    <w:p w:rsidR="007F20E8" w:rsidRPr="0027263A" w:rsidRDefault="007F20E8" w:rsidP="0027263A">
      <w:pPr>
        <w:tabs>
          <w:tab w:val="left" w:pos="3600"/>
        </w:tabs>
        <w:outlineLvl w:val="0"/>
        <w:rPr>
          <w:rFonts w:ascii="Verdana" w:hAnsi="Verdana"/>
        </w:rPr>
      </w:pPr>
      <w:r w:rsidRPr="0027263A">
        <w:rPr>
          <w:rFonts w:ascii="Verdana" w:hAnsi="Verdana"/>
          <w:b/>
        </w:rPr>
        <w:t>Job Title:</w:t>
      </w:r>
      <w:r w:rsidRPr="0027263A">
        <w:rPr>
          <w:rFonts w:ascii="Verdana" w:hAnsi="Verdana"/>
        </w:rPr>
        <w:t xml:space="preserve"> </w:t>
      </w:r>
      <w:r w:rsidRPr="0027263A">
        <w:rPr>
          <w:rFonts w:ascii="Verdana" w:hAnsi="Verdana"/>
        </w:rPr>
        <w:tab/>
      </w:r>
      <w:r w:rsidR="000A5301">
        <w:rPr>
          <w:rFonts w:ascii="Verdana" w:hAnsi="Verdana"/>
        </w:rPr>
        <w:t>Grounds Manager</w:t>
      </w:r>
    </w:p>
    <w:p w:rsidR="007F20E8" w:rsidRPr="0027263A" w:rsidRDefault="007F20E8" w:rsidP="0027263A">
      <w:pPr>
        <w:tabs>
          <w:tab w:val="left" w:pos="3600"/>
        </w:tabs>
        <w:ind w:right="43"/>
        <w:rPr>
          <w:rFonts w:ascii="Verdana" w:hAnsi="Verdana"/>
        </w:rPr>
      </w:pPr>
    </w:p>
    <w:p w:rsidR="007F20E8" w:rsidRPr="0027263A" w:rsidRDefault="007F20E8" w:rsidP="0027263A">
      <w:pPr>
        <w:tabs>
          <w:tab w:val="left" w:pos="3600"/>
        </w:tabs>
        <w:ind w:right="43"/>
        <w:rPr>
          <w:rFonts w:ascii="Verdana" w:hAnsi="Verdana"/>
        </w:rPr>
      </w:pPr>
      <w:r w:rsidRPr="0027263A">
        <w:rPr>
          <w:rFonts w:ascii="Verdana" w:hAnsi="Verdana"/>
          <w:b/>
        </w:rPr>
        <w:t>School/Department:</w:t>
      </w:r>
      <w:r w:rsidRPr="0027263A">
        <w:rPr>
          <w:rFonts w:ascii="Verdana" w:hAnsi="Verdana"/>
        </w:rPr>
        <w:t xml:space="preserve"> </w:t>
      </w:r>
      <w:r w:rsidRPr="0027263A">
        <w:rPr>
          <w:rFonts w:ascii="Verdana" w:hAnsi="Verdana"/>
        </w:rPr>
        <w:tab/>
      </w:r>
      <w:r w:rsidR="0087600A" w:rsidRPr="0027263A">
        <w:rPr>
          <w:rFonts w:ascii="Verdana" w:hAnsi="Verdana"/>
        </w:rPr>
        <w:t>Estates Office</w:t>
      </w:r>
      <w:r w:rsidR="000A5301">
        <w:rPr>
          <w:rFonts w:ascii="Verdana" w:hAnsi="Verdana"/>
        </w:rPr>
        <w:t xml:space="preserve"> – Grounds Section</w:t>
      </w:r>
    </w:p>
    <w:p w:rsidR="007F20E8" w:rsidRPr="0027263A" w:rsidRDefault="007F20E8" w:rsidP="0027263A">
      <w:pPr>
        <w:tabs>
          <w:tab w:val="left" w:pos="3600"/>
        </w:tabs>
        <w:ind w:right="43"/>
        <w:rPr>
          <w:rFonts w:ascii="Verdana" w:hAnsi="Verdana"/>
        </w:rPr>
      </w:pPr>
    </w:p>
    <w:p w:rsidR="007F20E8" w:rsidRDefault="007F20E8" w:rsidP="00717874">
      <w:pPr>
        <w:tabs>
          <w:tab w:val="left" w:pos="3600"/>
        </w:tabs>
        <w:ind w:left="3600" w:hanging="3600"/>
        <w:rPr>
          <w:rFonts w:ascii="Verdana" w:hAnsi="Verdana"/>
        </w:rPr>
      </w:pPr>
      <w:r w:rsidRPr="0027263A">
        <w:rPr>
          <w:rFonts w:ascii="Verdana" w:hAnsi="Verdana"/>
          <w:b/>
        </w:rPr>
        <w:t>Salary:</w:t>
      </w:r>
      <w:r w:rsidRPr="0027263A">
        <w:rPr>
          <w:rFonts w:ascii="Verdana" w:hAnsi="Verdana"/>
          <w:b/>
        </w:rPr>
        <w:tab/>
      </w:r>
      <w:r w:rsidR="00717874" w:rsidRPr="00717874">
        <w:rPr>
          <w:rFonts w:ascii="Verdana" w:hAnsi="Verdana"/>
        </w:rPr>
        <w:t>£</w:t>
      </w:r>
      <w:r w:rsidR="00F848A9">
        <w:rPr>
          <w:rFonts w:ascii="Verdana" w:hAnsi="Verdana"/>
        </w:rPr>
        <w:t>37,768</w:t>
      </w:r>
      <w:r w:rsidR="00ED1B18">
        <w:rPr>
          <w:rFonts w:ascii="Verdana" w:hAnsi="Verdana"/>
        </w:rPr>
        <w:t xml:space="preserve"> </w:t>
      </w:r>
      <w:r w:rsidR="00F848A9">
        <w:rPr>
          <w:rFonts w:ascii="Verdana" w:hAnsi="Verdana"/>
        </w:rPr>
        <w:t>-</w:t>
      </w:r>
      <w:r w:rsidR="00ED1B18">
        <w:rPr>
          <w:rFonts w:ascii="Verdana" w:hAnsi="Verdana"/>
        </w:rPr>
        <w:t xml:space="preserve"> </w:t>
      </w:r>
      <w:r w:rsidR="00F848A9">
        <w:rPr>
          <w:rFonts w:ascii="Verdana" w:hAnsi="Verdana"/>
        </w:rPr>
        <w:t>£46,414</w:t>
      </w:r>
      <w:r w:rsidR="00717874" w:rsidRPr="00717874">
        <w:rPr>
          <w:rFonts w:ascii="Verdana" w:hAnsi="Verdana"/>
        </w:rPr>
        <w:t xml:space="preserve"> per annum depending on skills and experience.  Salary progression beyond this scale is subject to performance</w:t>
      </w:r>
    </w:p>
    <w:p w:rsidR="00717874" w:rsidRPr="0027263A" w:rsidRDefault="00717874" w:rsidP="00717874">
      <w:pPr>
        <w:tabs>
          <w:tab w:val="left" w:pos="3600"/>
        </w:tabs>
        <w:ind w:left="3600" w:hanging="3600"/>
        <w:rPr>
          <w:rFonts w:ascii="Verdana" w:hAnsi="Verdana"/>
          <w:b/>
        </w:rPr>
      </w:pPr>
    </w:p>
    <w:p w:rsidR="007F20E8" w:rsidRPr="0027263A" w:rsidRDefault="007F20E8" w:rsidP="0027263A">
      <w:pPr>
        <w:tabs>
          <w:tab w:val="left" w:pos="3600"/>
        </w:tabs>
        <w:ind w:right="43"/>
        <w:rPr>
          <w:rFonts w:ascii="Verdana" w:hAnsi="Verdana"/>
        </w:rPr>
      </w:pPr>
      <w:r w:rsidRPr="0027263A">
        <w:rPr>
          <w:rFonts w:ascii="Verdana" w:hAnsi="Verdana"/>
          <w:b/>
        </w:rPr>
        <w:t>Job Family and Level:</w:t>
      </w:r>
      <w:r w:rsidRPr="0027263A">
        <w:rPr>
          <w:rFonts w:ascii="Verdana" w:hAnsi="Verdana"/>
        </w:rPr>
        <w:tab/>
      </w:r>
      <w:r w:rsidR="001738D3" w:rsidRPr="0027263A">
        <w:rPr>
          <w:rFonts w:ascii="Verdana" w:hAnsi="Verdana"/>
        </w:rPr>
        <w:t xml:space="preserve">APM </w:t>
      </w:r>
      <w:r w:rsidR="0087600A" w:rsidRPr="0027263A">
        <w:rPr>
          <w:rFonts w:ascii="Verdana" w:hAnsi="Verdana"/>
        </w:rPr>
        <w:t xml:space="preserve">Level </w:t>
      </w:r>
      <w:r w:rsidR="000A5301">
        <w:rPr>
          <w:rFonts w:ascii="Verdana" w:hAnsi="Verdana"/>
        </w:rPr>
        <w:t>5</w:t>
      </w:r>
    </w:p>
    <w:p w:rsidR="007F20E8" w:rsidRPr="0027263A" w:rsidRDefault="007F20E8" w:rsidP="0027263A">
      <w:pPr>
        <w:tabs>
          <w:tab w:val="left" w:pos="3600"/>
        </w:tabs>
        <w:ind w:right="43"/>
        <w:rPr>
          <w:rFonts w:ascii="Verdana" w:hAnsi="Verdana"/>
        </w:rPr>
      </w:pPr>
    </w:p>
    <w:p w:rsidR="007F20E8" w:rsidRPr="0027263A" w:rsidRDefault="007F20E8" w:rsidP="0027263A">
      <w:pPr>
        <w:tabs>
          <w:tab w:val="left" w:pos="3600"/>
        </w:tabs>
        <w:rPr>
          <w:rFonts w:ascii="Verdana" w:hAnsi="Verdana"/>
        </w:rPr>
      </w:pPr>
      <w:r w:rsidRPr="0027263A">
        <w:rPr>
          <w:rFonts w:ascii="Verdana" w:hAnsi="Verdana"/>
          <w:b/>
        </w:rPr>
        <w:t>Contract Status</w:t>
      </w:r>
      <w:r w:rsidR="0027263A">
        <w:rPr>
          <w:rFonts w:ascii="Verdana" w:hAnsi="Verdana"/>
        </w:rPr>
        <w:t>:</w:t>
      </w:r>
      <w:r w:rsidRPr="0027263A">
        <w:rPr>
          <w:rFonts w:ascii="Verdana" w:hAnsi="Verdana"/>
        </w:rPr>
        <w:tab/>
        <w:t>Permanent</w:t>
      </w:r>
    </w:p>
    <w:p w:rsidR="007F20E8" w:rsidRPr="0027263A" w:rsidRDefault="007F20E8" w:rsidP="0027263A">
      <w:pPr>
        <w:tabs>
          <w:tab w:val="left" w:pos="3600"/>
        </w:tabs>
        <w:rPr>
          <w:rFonts w:ascii="Verdana" w:hAnsi="Verdana"/>
        </w:rPr>
      </w:pPr>
    </w:p>
    <w:p w:rsidR="007F20E8" w:rsidRPr="0027263A" w:rsidRDefault="007F20E8" w:rsidP="0027263A">
      <w:pPr>
        <w:tabs>
          <w:tab w:val="left" w:pos="3600"/>
        </w:tabs>
        <w:rPr>
          <w:rFonts w:ascii="Verdana" w:hAnsi="Verdana"/>
          <w:b/>
        </w:rPr>
      </w:pPr>
      <w:r w:rsidRPr="0027263A">
        <w:rPr>
          <w:rFonts w:ascii="Verdana" w:hAnsi="Verdana"/>
          <w:b/>
        </w:rPr>
        <w:t>Hours of Work:</w:t>
      </w:r>
      <w:r w:rsidRPr="0027263A">
        <w:rPr>
          <w:rFonts w:ascii="Verdana" w:hAnsi="Verdana"/>
          <w:b/>
        </w:rPr>
        <w:tab/>
      </w:r>
      <w:r w:rsidRPr="0027263A">
        <w:rPr>
          <w:rFonts w:ascii="Verdana" w:hAnsi="Verdana"/>
        </w:rPr>
        <w:t>36.25</w:t>
      </w:r>
      <w:r w:rsidR="00A54B79" w:rsidRPr="0027263A">
        <w:rPr>
          <w:rFonts w:ascii="Verdana" w:hAnsi="Verdana"/>
        </w:rPr>
        <w:t xml:space="preserve"> per week</w:t>
      </w:r>
    </w:p>
    <w:p w:rsidR="007F20E8" w:rsidRPr="0027263A" w:rsidRDefault="007F20E8" w:rsidP="0027263A">
      <w:pPr>
        <w:tabs>
          <w:tab w:val="left" w:pos="3600"/>
        </w:tabs>
        <w:rPr>
          <w:rFonts w:ascii="Verdana" w:hAnsi="Verdana"/>
          <w:b/>
        </w:rPr>
      </w:pPr>
    </w:p>
    <w:p w:rsidR="007F20E8" w:rsidRPr="0027263A" w:rsidRDefault="007F20E8" w:rsidP="0027263A">
      <w:pPr>
        <w:tabs>
          <w:tab w:val="left" w:pos="3600"/>
        </w:tabs>
        <w:rPr>
          <w:rFonts w:ascii="Verdana" w:hAnsi="Verdana"/>
          <w:bCs/>
        </w:rPr>
      </w:pPr>
      <w:r w:rsidRPr="0027263A">
        <w:rPr>
          <w:rFonts w:ascii="Verdana" w:hAnsi="Verdana"/>
          <w:b/>
          <w:bCs/>
        </w:rPr>
        <w:t>Location:</w:t>
      </w:r>
      <w:r w:rsidRPr="0027263A">
        <w:rPr>
          <w:rFonts w:ascii="Verdana" w:hAnsi="Verdana"/>
          <w:b/>
          <w:bCs/>
        </w:rPr>
        <w:tab/>
      </w:r>
      <w:r w:rsidR="0087600A" w:rsidRPr="0027263A">
        <w:rPr>
          <w:rFonts w:ascii="Verdana" w:hAnsi="Verdana"/>
          <w:bCs/>
        </w:rPr>
        <w:t>Estates Office</w:t>
      </w:r>
    </w:p>
    <w:p w:rsidR="0087600A" w:rsidRPr="0027263A" w:rsidRDefault="0087600A" w:rsidP="0027263A">
      <w:pPr>
        <w:tabs>
          <w:tab w:val="left" w:pos="3600"/>
        </w:tabs>
        <w:rPr>
          <w:rFonts w:ascii="Verdana" w:hAnsi="Verdana"/>
          <w:b/>
          <w:bCs/>
        </w:rPr>
      </w:pPr>
    </w:p>
    <w:p w:rsidR="007F20E8" w:rsidRPr="001A73DD" w:rsidRDefault="007F20E8" w:rsidP="0027263A">
      <w:pPr>
        <w:tabs>
          <w:tab w:val="left" w:pos="3600"/>
        </w:tabs>
        <w:rPr>
          <w:rFonts w:ascii="Verdana" w:hAnsi="Verdana"/>
          <w:b/>
          <w:bCs/>
        </w:rPr>
      </w:pPr>
      <w:r w:rsidRPr="0027263A">
        <w:rPr>
          <w:rFonts w:ascii="Verdana" w:hAnsi="Verdana"/>
          <w:b/>
          <w:bCs/>
        </w:rPr>
        <w:t>Reporting to:</w:t>
      </w:r>
      <w:r w:rsidRPr="0027263A">
        <w:rPr>
          <w:rFonts w:ascii="Verdana" w:hAnsi="Verdana"/>
          <w:b/>
          <w:bCs/>
        </w:rPr>
        <w:tab/>
      </w:r>
      <w:r w:rsidR="000A5301">
        <w:rPr>
          <w:rFonts w:ascii="Verdana" w:hAnsi="Verdana"/>
          <w:bCs/>
        </w:rPr>
        <w:t>Director of Sustainability</w:t>
      </w:r>
    </w:p>
    <w:p w:rsidR="00235BFA" w:rsidRPr="0027263A" w:rsidRDefault="00235BFA" w:rsidP="0027263A">
      <w:pPr>
        <w:tabs>
          <w:tab w:val="left" w:pos="3600"/>
        </w:tabs>
        <w:outlineLvl w:val="0"/>
        <w:rPr>
          <w:rFonts w:ascii="Verdana" w:hAnsi="Verdana"/>
        </w:rPr>
      </w:pPr>
    </w:p>
    <w:p w:rsidR="007A13B6" w:rsidRPr="0027263A" w:rsidRDefault="00BC3303" w:rsidP="0027263A">
      <w:pPr>
        <w:tabs>
          <w:tab w:val="left" w:pos="3600"/>
        </w:tabs>
        <w:outlineLvl w:val="0"/>
        <w:rPr>
          <w:rFonts w:ascii="Verdana" w:hAnsi="Verdana"/>
          <w:b/>
        </w:rPr>
      </w:pPr>
      <w:r w:rsidRPr="0027263A">
        <w:rPr>
          <w:rFonts w:ascii="Verdana" w:hAnsi="Verdana"/>
          <w:b/>
        </w:rPr>
        <w:t xml:space="preserve">The </w:t>
      </w:r>
      <w:r w:rsidR="006D2ABA" w:rsidRPr="0027263A">
        <w:rPr>
          <w:rFonts w:ascii="Verdana" w:hAnsi="Verdana"/>
          <w:b/>
        </w:rPr>
        <w:t>P</w:t>
      </w:r>
      <w:r w:rsidRPr="0027263A">
        <w:rPr>
          <w:rFonts w:ascii="Verdana" w:hAnsi="Verdana"/>
          <w:b/>
        </w:rPr>
        <w:t xml:space="preserve">urpose of </w:t>
      </w:r>
      <w:r w:rsidR="009D6685" w:rsidRPr="0027263A">
        <w:rPr>
          <w:rFonts w:ascii="Verdana" w:hAnsi="Verdana"/>
          <w:b/>
        </w:rPr>
        <w:t>the</w:t>
      </w:r>
      <w:r w:rsidR="006D2ABA" w:rsidRPr="0027263A">
        <w:rPr>
          <w:rFonts w:ascii="Verdana" w:hAnsi="Verdana"/>
          <w:b/>
        </w:rPr>
        <w:t xml:space="preserve"> R</w:t>
      </w:r>
      <w:r w:rsidR="007A13B6" w:rsidRPr="0027263A">
        <w:rPr>
          <w:rFonts w:ascii="Verdana" w:hAnsi="Verdana"/>
          <w:b/>
        </w:rPr>
        <w:t>ole:</w:t>
      </w:r>
    </w:p>
    <w:p w:rsidR="00181E50" w:rsidRPr="0027263A" w:rsidRDefault="00181E50" w:rsidP="00235BFA">
      <w:pPr>
        <w:outlineLvl w:val="0"/>
        <w:rPr>
          <w:rFonts w:ascii="Verdana" w:hAnsi="Verdana"/>
        </w:rPr>
      </w:pPr>
    </w:p>
    <w:p w:rsidR="00D42870" w:rsidRPr="00EF4148" w:rsidRDefault="00E508AB" w:rsidP="00235BFA">
      <w:pPr>
        <w:pBdr>
          <w:bottom w:val="single" w:sz="12" w:space="1" w:color="auto"/>
        </w:pBdr>
        <w:rPr>
          <w:rFonts w:ascii="Verdana" w:hAnsi="Verdana"/>
        </w:rPr>
      </w:pPr>
      <w:r w:rsidRPr="00EF4148">
        <w:rPr>
          <w:rFonts w:ascii="Verdana" w:hAnsi="Verdana"/>
        </w:rPr>
        <w:t xml:space="preserve">To lead the University of Nottingham’s Grounds Service with overall responsibility for the day-to-day management of the University’s UK landscape and grounds maintenance. </w:t>
      </w:r>
    </w:p>
    <w:p w:rsidR="000A5301" w:rsidRPr="000A5301" w:rsidRDefault="000A5301" w:rsidP="00235BFA">
      <w:pPr>
        <w:pBdr>
          <w:bottom w:val="single" w:sz="12" w:space="1" w:color="auto"/>
        </w:pBdr>
        <w:rPr>
          <w:rFonts w:ascii="Verdana" w:hAnsi="Verdana"/>
          <w:color w:val="FF0000"/>
        </w:rPr>
      </w:pPr>
    </w:p>
    <w:p w:rsidR="00BE2023" w:rsidRDefault="00BE2023">
      <w:pPr>
        <w:rPr>
          <w:rFonts w:ascii="Verdana" w:hAnsi="Verdana"/>
        </w:rPr>
      </w:pP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830"/>
        <w:gridCol w:w="855"/>
      </w:tblGrid>
      <w:tr w:rsidR="007A13B6" w:rsidTr="00235BFA">
        <w:trPr>
          <w:trHeight w:val="255"/>
        </w:trPr>
        <w:tc>
          <w:tcPr>
            <w:tcW w:w="558" w:type="dxa"/>
            <w:tcBorders>
              <w:top w:val="nil"/>
              <w:left w:val="nil"/>
            </w:tcBorders>
            <w:vAlign w:val="bottom"/>
          </w:tcPr>
          <w:p w:rsidR="007A13B6" w:rsidRDefault="007A13B6" w:rsidP="00C26435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7830" w:type="dxa"/>
            <w:vAlign w:val="bottom"/>
          </w:tcPr>
          <w:p w:rsidR="007A13B6" w:rsidRPr="00C26435" w:rsidRDefault="006D2ABA" w:rsidP="00592F53">
            <w:pPr>
              <w:spacing w:before="80" w:after="80"/>
              <w:rPr>
                <w:rFonts w:ascii="Verdana" w:hAnsi="Verdana"/>
                <w:b/>
              </w:rPr>
            </w:pPr>
            <w:r w:rsidRPr="00C26435">
              <w:rPr>
                <w:rFonts w:ascii="Verdana" w:hAnsi="Verdana"/>
                <w:b/>
              </w:rPr>
              <w:t>Main R</w:t>
            </w:r>
            <w:r w:rsidR="007A13B6" w:rsidRPr="00C26435">
              <w:rPr>
                <w:rFonts w:ascii="Verdana" w:hAnsi="Verdana"/>
                <w:b/>
              </w:rPr>
              <w:t>esponsibilities</w:t>
            </w:r>
          </w:p>
        </w:tc>
        <w:tc>
          <w:tcPr>
            <w:tcW w:w="855" w:type="dxa"/>
            <w:vAlign w:val="bottom"/>
          </w:tcPr>
          <w:p w:rsidR="007A13B6" w:rsidRPr="00C26435" w:rsidRDefault="00E653D5" w:rsidP="00C26435">
            <w:pPr>
              <w:spacing w:before="80" w:after="80"/>
              <w:jc w:val="right"/>
              <w:rPr>
                <w:rFonts w:ascii="Verdana" w:hAnsi="Verdana"/>
                <w:b/>
              </w:rPr>
            </w:pPr>
            <w:r w:rsidRPr="00C26435">
              <w:rPr>
                <w:rFonts w:ascii="Verdana" w:hAnsi="Verdana"/>
                <w:b/>
              </w:rPr>
              <w:t>% of time</w:t>
            </w:r>
          </w:p>
        </w:tc>
      </w:tr>
      <w:tr w:rsidR="00FA5351" w:rsidTr="00235BFA">
        <w:trPr>
          <w:trHeight w:val="237"/>
        </w:trPr>
        <w:tc>
          <w:tcPr>
            <w:tcW w:w="558" w:type="dxa"/>
          </w:tcPr>
          <w:p w:rsidR="00FA5351" w:rsidRDefault="00FA5351" w:rsidP="00C26435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7830" w:type="dxa"/>
          </w:tcPr>
          <w:p w:rsidR="000A5301" w:rsidRPr="000A5301" w:rsidRDefault="000A5301" w:rsidP="000A5301">
            <w:pPr>
              <w:rPr>
                <w:rFonts w:ascii="Verdana" w:hAnsi="Verdana"/>
              </w:rPr>
            </w:pPr>
            <w:r w:rsidRPr="000A5301">
              <w:rPr>
                <w:rFonts w:ascii="Verdana" w:hAnsi="Verdana"/>
              </w:rPr>
              <w:t xml:space="preserve">To lead the University’s Grounds Management function for all UK-based sites for The University of Nottingham including amenity areas, sports facilities, gardens and woodland in line with the University’s corporate strategies. </w:t>
            </w:r>
            <w:r w:rsidR="005279A1">
              <w:rPr>
                <w:rFonts w:ascii="Verdana" w:hAnsi="Verdana"/>
              </w:rPr>
              <w:t xml:space="preserve">To oversee the management of the Grounds Team ensuring all </w:t>
            </w:r>
            <w:r w:rsidR="0076648F">
              <w:rPr>
                <w:rFonts w:ascii="Verdana" w:hAnsi="Verdana"/>
              </w:rPr>
              <w:t>relevant</w:t>
            </w:r>
            <w:r w:rsidR="005279A1">
              <w:rPr>
                <w:rFonts w:ascii="Verdana" w:hAnsi="Verdana"/>
              </w:rPr>
              <w:t xml:space="preserve"> targets and budgets are met, reviewing resource levels as required. To lead projects and provide expert advice</w:t>
            </w:r>
            <w:r w:rsidR="00F205F4">
              <w:rPr>
                <w:rFonts w:ascii="Verdana" w:hAnsi="Verdana"/>
              </w:rPr>
              <w:t xml:space="preserve"> interacting with Senior University </w:t>
            </w:r>
            <w:r w:rsidR="0076648F">
              <w:rPr>
                <w:rFonts w:ascii="Verdana" w:hAnsi="Verdana"/>
              </w:rPr>
              <w:t>Management</w:t>
            </w:r>
            <w:r w:rsidR="005279A1">
              <w:rPr>
                <w:rFonts w:ascii="Verdana" w:hAnsi="Verdana"/>
              </w:rPr>
              <w:t xml:space="preserve"> and external providers as required.</w:t>
            </w:r>
          </w:p>
          <w:p w:rsidR="00666D7D" w:rsidRPr="00C26435" w:rsidRDefault="00666D7D" w:rsidP="00C26435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855" w:type="dxa"/>
          </w:tcPr>
          <w:p w:rsidR="00FA5351" w:rsidRPr="00C26435" w:rsidRDefault="00EF39C1" w:rsidP="00C26435">
            <w:pPr>
              <w:spacing w:before="80" w:after="8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666D7D" w:rsidRPr="00C26435">
              <w:rPr>
                <w:rFonts w:ascii="Verdana" w:hAnsi="Verdana"/>
              </w:rPr>
              <w:t>0%</w:t>
            </w:r>
          </w:p>
        </w:tc>
      </w:tr>
      <w:tr w:rsidR="00330D2C" w:rsidTr="00235BFA">
        <w:trPr>
          <w:trHeight w:val="65"/>
        </w:trPr>
        <w:tc>
          <w:tcPr>
            <w:tcW w:w="558" w:type="dxa"/>
          </w:tcPr>
          <w:p w:rsidR="00330D2C" w:rsidRDefault="00330D2C" w:rsidP="00C26435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7830" w:type="dxa"/>
          </w:tcPr>
          <w:p w:rsidR="00314A68" w:rsidRPr="00C26435" w:rsidRDefault="000A5301" w:rsidP="00C26435">
            <w:pPr>
              <w:tabs>
                <w:tab w:val="left" w:pos="810"/>
              </w:tabs>
              <w:spacing w:before="80" w:after="80"/>
              <w:rPr>
                <w:rFonts w:ascii="Verdana" w:hAnsi="Verdana"/>
              </w:rPr>
            </w:pPr>
            <w:r w:rsidRPr="000A5301">
              <w:rPr>
                <w:rFonts w:ascii="Verdana" w:hAnsi="Verdana"/>
              </w:rPr>
              <w:t>To be responsible for the strategic direction and development of the grounds service overseeing staff, financial, regulatory and Health &amp; Safety responsibilities in line with the University’s corporate strategies and policies.</w:t>
            </w:r>
          </w:p>
        </w:tc>
        <w:tc>
          <w:tcPr>
            <w:tcW w:w="855" w:type="dxa"/>
          </w:tcPr>
          <w:p w:rsidR="00330D2C" w:rsidRPr="00C26435" w:rsidRDefault="00666D7D" w:rsidP="00C26435">
            <w:pPr>
              <w:spacing w:before="80" w:after="80"/>
              <w:jc w:val="right"/>
              <w:rPr>
                <w:rFonts w:ascii="Verdana" w:hAnsi="Verdana"/>
              </w:rPr>
            </w:pPr>
            <w:r w:rsidRPr="00C26435">
              <w:rPr>
                <w:rFonts w:ascii="Verdana" w:hAnsi="Verdana"/>
              </w:rPr>
              <w:t>2</w:t>
            </w:r>
            <w:r w:rsidR="00EF39C1">
              <w:rPr>
                <w:rFonts w:ascii="Verdana" w:hAnsi="Verdana"/>
              </w:rPr>
              <w:t>5</w:t>
            </w:r>
            <w:r w:rsidRPr="00C26435">
              <w:rPr>
                <w:rFonts w:ascii="Verdana" w:hAnsi="Verdana"/>
              </w:rPr>
              <w:t>%</w:t>
            </w:r>
          </w:p>
        </w:tc>
      </w:tr>
      <w:tr w:rsidR="00A63B74" w:rsidTr="00235BFA">
        <w:trPr>
          <w:trHeight w:val="65"/>
        </w:trPr>
        <w:tc>
          <w:tcPr>
            <w:tcW w:w="558" w:type="dxa"/>
          </w:tcPr>
          <w:p w:rsidR="00A63B74" w:rsidRDefault="00A63B74" w:rsidP="00C26435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7830" w:type="dxa"/>
          </w:tcPr>
          <w:p w:rsidR="00B40465" w:rsidRPr="00C26435" w:rsidRDefault="000A5301" w:rsidP="00C26435">
            <w:pPr>
              <w:spacing w:before="80" w:after="80"/>
              <w:rPr>
                <w:rFonts w:ascii="Verdana" w:hAnsi="Verdana"/>
              </w:rPr>
            </w:pPr>
            <w:r w:rsidRPr="000A5301">
              <w:rPr>
                <w:rFonts w:ascii="Verdana" w:hAnsi="Verdana"/>
              </w:rPr>
              <w:t>To manage and plan year-on-year resources within the Grounds service budget (circa £1m) and to identify opportunities for development, efficiency and performance improvement and to oversee the procurement of all Grounds management and landscaping contracts, contractors and outsourced services.</w:t>
            </w:r>
          </w:p>
        </w:tc>
        <w:tc>
          <w:tcPr>
            <w:tcW w:w="855" w:type="dxa"/>
          </w:tcPr>
          <w:p w:rsidR="00A63B74" w:rsidRPr="00C26435" w:rsidRDefault="00666D7D" w:rsidP="00C26435">
            <w:pPr>
              <w:spacing w:before="80" w:after="80"/>
              <w:jc w:val="right"/>
              <w:rPr>
                <w:rFonts w:ascii="Verdana" w:hAnsi="Verdana"/>
              </w:rPr>
            </w:pPr>
            <w:r w:rsidRPr="00C26435">
              <w:rPr>
                <w:rFonts w:ascii="Verdana" w:hAnsi="Verdana"/>
              </w:rPr>
              <w:t>15%</w:t>
            </w:r>
          </w:p>
        </w:tc>
      </w:tr>
      <w:tr w:rsidR="00670CA3" w:rsidTr="00235BFA">
        <w:trPr>
          <w:trHeight w:val="65"/>
        </w:trPr>
        <w:tc>
          <w:tcPr>
            <w:tcW w:w="558" w:type="dxa"/>
          </w:tcPr>
          <w:p w:rsidR="00670CA3" w:rsidRDefault="00670CA3" w:rsidP="00C26435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7830" w:type="dxa"/>
          </w:tcPr>
          <w:p w:rsidR="00B40465" w:rsidRPr="00C26435" w:rsidRDefault="000A5301" w:rsidP="00AE14C3">
            <w:pPr>
              <w:spacing w:before="80" w:after="80"/>
              <w:rPr>
                <w:rFonts w:ascii="Verdana" w:hAnsi="Verdana"/>
              </w:rPr>
            </w:pPr>
            <w:r w:rsidRPr="000A5301">
              <w:rPr>
                <w:rFonts w:ascii="Verdana" w:hAnsi="Verdana"/>
              </w:rPr>
              <w:t xml:space="preserve">To lead the development of landscape and campus management plans working with the wider Estates Office and with other key stakeholders. </w:t>
            </w:r>
          </w:p>
        </w:tc>
        <w:tc>
          <w:tcPr>
            <w:tcW w:w="855" w:type="dxa"/>
          </w:tcPr>
          <w:p w:rsidR="00670CA3" w:rsidRPr="00C26435" w:rsidRDefault="00EF39C1" w:rsidP="00C26435">
            <w:pPr>
              <w:spacing w:before="80" w:after="8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666D7D" w:rsidRPr="00C26435">
              <w:rPr>
                <w:rFonts w:ascii="Verdana" w:hAnsi="Verdana"/>
              </w:rPr>
              <w:t>5%</w:t>
            </w:r>
          </w:p>
        </w:tc>
      </w:tr>
      <w:tr w:rsidR="00670CA3" w:rsidTr="00235BFA">
        <w:trPr>
          <w:trHeight w:val="65"/>
        </w:trPr>
        <w:tc>
          <w:tcPr>
            <w:tcW w:w="558" w:type="dxa"/>
          </w:tcPr>
          <w:p w:rsidR="00670CA3" w:rsidRDefault="00670CA3" w:rsidP="00C26435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7830" w:type="dxa"/>
          </w:tcPr>
          <w:p w:rsidR="00DA615A" w:rsidRPr="00C26435" w:rsidRDefault="000A5301" w:rsidP="00C26435">
            <w:pPr>
              <w:spacing w:before="80" w:after="80"/>
              <w:rPr>
                <w:rFonts w:ascii="Verdana" w:hAnsi="Verdana"/>
              </w:rPr>
            </w:pPr>
            <w:r w:rsidRPr="000A5301">
              <w:rPr>
                <w:rFonts w:ascii="Verdana" w:hAnsi="Verdana"/>
              </w:rPr>
              <w:t>To develop and manage relationships with informal and formal</w:t>
            </w:r>
            <w:r w:rsidR="00AE14C3">
              <w:rPr>
                <w:rFonts w:ascii="Verdana" w:hAnsi="Verdana"/>
              </w:rPr>
              <w:t xml:space="preserve"> users and</w:t>
            </w:r>
            <w:r w:rsidRPr="000A5301">
              <w:rPr>
                <w:rFonts w:ascii="Verdana" w:hAnsi="Verdana"/>
              </w:rPr>
              <w:t xml:space="preserve"> customers, both internally and externally, and to develop systematic </w:t>
            </w:r>
            <w:r w:rsidRPr="000A5301">
              <w:rPr>
                <w:rFonts w:ascii="Verdana" w:hAnsi="Verdana"/>
              </w:rPr>
              <w:lastRenderedPageBreak/>
              <w:t>customer satisfaction measures.</w:t>
            </w:r>
          </w:p>
        </w:tc>
        <w:tc>
          <w:tcPr>
            <w:tcW w:w="855" w:type="dxa"/>
          </w:tcPr>
          <w:p w:rsidR="00670CA3" w:rsidRPr="00C26435" w:rsidRDefault="00666D7D" w:rsidP="00C26435">
            <w:pPr>
              <w:spacing w:before="80" w:after="80"/>
              <w:jc w:val="right"/>
              <w:rPr>
                <w:rFonts w:ascii="Verdana" w:hAnsi="Verdana"/>
              </w:rPr>
            </w:pPr>
            <w:r w:rsidRPr="00C26435">
              <w:rPr>
                <w:rFonts w:ascii="Verdana" w:hAnsi="Verdana"/>
              </w:rPr>
              <w:lastRenderedPageBreak/>
              <w:t>5%</w:t>
            </w:r>
          </w:p>
        </w:tc>
      </w:tr>
      <w:tr w:rsidR="00330D2C" w:rsidTr="00235BFA">
        <w:trPr>
          <w:trHeight w:val="65"/>
        </w:trPr>
        <w:tc>
          <w:tcPr>
            <w:tcW w:w="558" w:type="dxa"/>
          </w:tcPr>
          <w:p w:rsidR="00330D2C" w:rsidRDefault="00330D2C" w:rsidP="00C26435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6.</w:t>
            </w:r>
          </w:p>
        </w:tc>
        <w:tc>
          <w:tcPr>
            <w:tcW w:w="7830" w:type="dxa"/>
          </w:tcPr>
          <w:p w:rsidR="000A5301" w:rsidRDefault="000A5301" w:rsidP="000A5301">
            <w:r w:rsidRPr="00EF39C1">
              <w:rPr>
                <w:rFonts w:ascii="Verdana" w:hAnsi="Verdana"/>
              </w:rPr>
              <w:t>To produce and publish performance reports and briefings for key stakeholders as necessary</w:t>
            </w:r>
            <w:r>
              <w:t>.</w:t>
            </w:r>
            <w:r w:rsidRPr="008D55B4">
              <w:t xml:space="preserve"> </w:t>
            </w:r>
          </w:p>
          <w:p w:rsidR="00DA615A" w:rsidRPr="001A73DD" w:rsidRDefault="00DA615A" w:rsidP="00C26435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855" w:type="dxa"/>
          </w:tcPr>
          <w:p w:rsidR="00330D2C" w:rsidRPr="00C26435" w:rsidRDefault="00666D7D" w:rsidP="00C26435">
            <w:pPr>
              <w:spacing w:before="80" w:after="80"/>
              <w:jc w:val="right"/>
              <w:rPr>
                <w:rFonts w:ascii="Verdana" w:hAnsi="Verdana"/>
              </w:rPr>
            </w:pPr>
            <w:r w:rsidRPr="00C26435">
              <w:rPr>
                <w:rFonts w:ascii="Verdana" w:hAnsi="Verdana"/>
              </w:rPr>
              <w:t>5%</w:t>
            </w:r>
          </w:p>
        </w:tc>
      </w:tr>
      <w:tr w:rsidR="00B56546" w:rsidTr="00235BFA">
        <w:trPr>
          <w:trHeight w:val="65"/>
        </w:trPr>
        <w:tc>
          <w:tcPr>
            <w:tcW w:w="558" w:type="dxa"/>
          </w:tcPr>
          <w:p w:rsidR="00B56546" w:rsidRDefault="00B56546" w:rsidP="00C26435">
            <w:pPr>
              <w:spacing w:before="80" w:after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7830" w:type="dxa"/>
          </w:tcPr>
          <w:p w:rsidR="00EF39C1" w:rsidRPr="00EF39C1" w:rsidRDefault="00EF39C1" w:rsidP="00EF39C1">
            <w:pPr>
              <w:rPr>
                <w:rFonts w:ascii="Verdana" w:hAnsi="Verdana"/>
              </w:rPr>
            </w:pPr>
            <w:r w:rsidRPr="00EF39C1">
              <w:rPr>
                <w:rFonts w:ascii="Verdana" w:hAnsi="Verdana"/>
              </w:rPr>
              <w:t xml:space="preserve">To be an ambassador for the University’s grounds and to promote and engage to the wider University community in their development including a strong focus on the student experience and to actively engage with the local, and wider, community including agencies with whom we share land and boundaries including Nottingham City Council, </w:t>
            </w:r>
            <w:proofErr w:type="spellStart"/>
            <w:r w:rsidRPr="00EF39C1">
              <w:rPr>
                <w:rFonts w:ascii="Verdana" w:hAnsi="Verdana"/>
              </w:rPr>
              <w:t>Tramlink</w:t>
            </w:r>
            <w:proofErr w:type="spellEnd"/>
            <w:r w:rsidRPr="00EF39C1">
              <w:rPr>
                <w:rFonts w:ascii="Verdana" w:hAnsi="Verdana"/>
              </w:rPr>
              <w:t>, Highways England, Friends of University Park.</w:t>
            </w:r>
          </w:p>
          <w:p w:rsidR="00B56546" w:rsidRPr="00C26435" w:rsidRDefault="00B56546" w:rsidP="00C26435">
            <w:pPr>
              <w:spacing w:before="80" w:after="80"/>
              <w:rPr>
                <w:rFonts w:ascii="Verdana" w:hAnsi="Verdana"/>
              </w:rPr>
            </w:pPr>
          </w:p>
        </w:tc>
        <w:tc>
          <w:tcPr>
            <w:tcW w:w="855" w:type="dxa"/>
          </w:tcPr>
          <w:p w:rsidR="00B56546" w:rsidRPr="00C26435" w:rsidRDefault="00EF39C1" w:rsidP="00C26435">
            <w:pPr>
              <w:spacing w:before="80" w:after="80"/>
              <w:jc w:val="right"/>
              <w:rPr>
                <w:rFonts w:ascii="Verdana" w:hAnsi="Verdana"/>
              </w:rPr>
            </w:pPr>
            <w:r w:rsidRPr="00C26435">
              <w:rPr>
                <w:rFonts w:ascii="Verdana" w:hAnsi="Verdana"/>
              </w:rPr>
              <w:t>5%</w:t>
            </w:r>
          </w:p>
        </w:tc>
      </w:tr>
    </w:tbl>
    <w:p w:rsidR="00E653D5" w:rsidRDefault="00E653D5" w:rsidP="005E3274">
      <w:pPr>
        <w:outlineLvl w:val="0"/>
        <w:rPr>
          <w:rFonts w:ascii="Verdana" w:hAnsi="Verdana"/>
          <w:b/>
        </w:rPr>
      </w:pPr>
    </w:p>
    <w:p w:rsidR="007A13B6" w:rsidRDefault="005E3274" w:rsidP="005E3274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7A13B6">
        <w:rPr>
          <w:rFonts w:ascii="Verdana" w:hAnsi="Verdana"/>
          <w:b/>
        </w:rPr>
        <w:lastRenderedPageBreak/>
        <w:t>Knowledge</w:t>
      </w:r>
      <w:r w:rsidR="006D2ABA">
        <w:rPr>
          <w:rFonts w:ascii="Verdana" w:hAnsi="Verdana"/>
          <w:b/>
        </w:rPr>
        <w:t>, Skills, Qualifications and Experience</w:t>
      </w:r>
    </w:p>
    <w:p w:rsidR="0064786D" w:rsidRDefault="0064786D" w:rsidP="005E3274">
      <w:pPr>
        <w:outlineLvl w:val="0"/>
        <w:rPr>
          <w:rFonts w:ascii="Verdana" w:hAnsi="Verdana"/>
          <w:b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667"/>
        <w:gridCol w:w="3758"/>
      </w:tblGrid>
      <w:tr w:rsidR="00E653D5" w:rsidTr="00C33807">
        <w:trPr>
          <w:trHeight w:val="281"/>
        </w:trPr>
        <w:tc>
          <w:tcPr>
            <w:tcW w:w="1818" w:type="dxa"/>
          </w:tcPr>
          <w:p w:rsidR="00E653D5" w:rsidRPr="00BE2023" w:rsidRDefault="00E653D5" w:rsidP="00C33807">
            <w:pPr>
              <w:spacing w:before="40" w:after="4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67" w:type="dxa"/>
          </w:tcPr>
          <w:p w:rsidR="00E653D5" w:rsidRPr="00EF4148" w:rsidRDefault="00E653D5" w:rsidP="00C33807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3758" w:type="dxa"/>
          </w:tcPr>
          <w:p w:rsidR="00E653D5" w:rsidRPr="00EF4148" w:rsidRDefault="00E653D5" w:rsidP="00C33807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Desirable</w:t>
            </w:r>
          </w:p>
        </w:tc>
      </w:tr>
      <w:tr w:rsidR="00FA5351" w:rsidTr="00C33807">
        <w:tc>
          <w:tcPr>
            <w:tcW w:w="1818" w:type="dxa"/>
          </w:tcPr>
          <w:p w:rsidR="00FA5351" w:rsidRPr="00BE2023" w:rsidRDefault="00FA5351" w:rsidP="00C33807">
            <w:pPr>
              <w:spacing w:before="40" w:after="40"/>
              <w:rPr>
                <w:rFonts w:ascii="Verdana" w:hAnsi="Verdana"/>
                <w:sz w:val="18"/>
                <w:szCs w:val="18"/>
                <w:lang w:val="en-US"/>
              </w:rPr>
            </w:pPr>
            <w:r w:rsidRPr="00BE2023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Qualifications/</w:t>
            </w:r>
            <w:r w:rsidRPr="00BE2023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br/>
              <w:t>Education</w:t>
            </w:r>
          </w:p>
        </w:tc>
        <w:tc>
          <w:tcPr>
            <w:tcW w:w="3667" w:type="dxa"/>
          </w:tcPr>
          <w:p w:rsidR="00EF39C1" w:rsidRPr="00EF4148" w:rsidRDefault="00EF39C1" w:rsidP="00EF39C1">
            <w:pPr>
              <w:tabs>
                <w:tab w:val="left" w:pos="709"/>
                <w:tab w:val="left" w:pos="851"/>
                <w:tab w:val="left" w:pos="1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>A NDH, HND or degree</w:t>
            </w:r>
            <w:r w:rsidR="00786210">
              <w:rPr>
                <w:rFonts w:ascii="Arial" w:hAnsi="Arial" w:cs="Arial"/>
                <w:sz w:val="22"/>
                <w:szCs w:val="22"/>
                <w:lang w:val="en-US"/>
              </w:rPr>
              <w:t xml:space="preserve"> or equivalent </w:t>
            </w: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 xml:space="preserve"> in Horticulture with an appropriate specialism such as landscape design or NVQ Level 5 in an appropriate specia</w:t>
            </w:r>
            <w:r w:rsidR="00D6216C" w:rsidRPr="00EF4148">
              <w:rPr>
                <w:rFonts w:ascii="Arial" w:hAnsi="Arial" w:cs="Arial"/>
                <w:sz w:val="22"/>
                <w:szCs w:val="22"/>
                <w:lang w:val="en-US"/>
              </w:rPr>
              <w:t>lism, e.g. Amenity Horticulture plus significant hands on experience in a similar or related role or a proven track record of extensive work experience gained through experience in  series of progressively complex roles</w:t>
            </w:r>
          </w:p>
          <w:p w:rsidR="00EF39C1" w:rsidRPr="00EF4148" w:rsidRDefault="00EF39C1" w:rsidP="00EF39C1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 xml:space="preserve">Membership of a relevant professional body </w:t>
            </w:r>
          </w:p>
          <w:p w:rsidR="00224AF8" w:rsidRPr="00EF4148" w:rsidRDefault="00224AF8" w:rsidP="00EF39C1">
            <w:pPr>
              <w:tabs>
                <w:tab w:val="left" w:pos="709"/>
                <w:tab w:val="left" w:pos="851"/>
                <w:tab w:val="left" w:pos="1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Excellent level of numeracy and literacy</w:t>
            </w:r>
          </w:p>
        </w:tc>
        <w:tc>
          <w:tcPr>
            <w:tcW w:w="3758" w:type="dxa"/>
          </w:tcPr>
          <w:p w:rsidR="0095349F" w:rsidRPr="00EF4148" w:rsidRDefault="00EF39C1" w:rsidP="00EF39C1">
            <w:pPr>
              <w:spacing w:before="40" w:after="40"/>
              <w:rPr>
                <w:rFonts w:ascii="Arial" w:hAnsi="Arial" w:cs="Arial"/>
                <w:strike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Have significant experience and a proven track record and knowledge of Grounds Management and commercial landscaping.</w:t>
            </w:r>
          </w:p>
        </w:tc>
      </w:tr>
      <w:tr w:rsidR="00FA5351" w:rsidTr="00C33807">
        <w:tc>
          <w:tcPr>
            <w:tcW w:w="1818" w:type="dxa"/>
          </w:tcPr>
          <w:p w:rsidR="00FA5351" w:rsidRPr="00BE2023" w:rsidRDefault="00EA6DC4" w:rsidP="00C33807">
            <w:pPr>
              <w:spacing w:before="40" w:after="4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3667" w:type="dxa"/>
          </w:tcPr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Significant experience of a strategic management role within a facilities management organisation and experience of grounds management in a large organisation.</w:t>
            </w: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Experience of managing operational functions and staff and leading change and development.</w:t>
            </w: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Experience of workforce management including Health &amp; Safety.</w:t>
            </w: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Experience of developing and implementing grounds management strategies consistent with the overall business strategy.</w:t>
            </w: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Experience and understanding of designing and managing hard and soft landscape schemes and planting plans, working with architects, contractors and in-house teams.</w:t>
            </w: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Experience of negotiating, procuring and management of multi-site grounds management services.</w:t>
            </w: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 xml:space="preserve">Experience of proactively </w:t>
            </w:r>
            <w:r w:rsidRPr="00EF4148">
              <w:rPr>
                <w:rFonts w:ascii="Arial" w:hAnsi="Arial" w:cs="Arial"/>
                <w:sz w:val="22"/>
                <w:szCs w:val="22"/>
              </w:rPr>
              <w:lastRenderedPageBreak/>
              <w:t>managing customer relationships both internally and externally and developing service level agreements.</w:t>
            </w: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Experience of standards and legislation appropriate to Grounds Management.</w:t>
            </w: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F39C1" w:rsidRPr="00EF4148" w:rsidRDefault="00EF39C1" w:rsidP="00EF39C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Experience of managing revenue budgets.</w:t>
            </w:r>
          </w:p>
          <w:p w:rsidR="00080741" w:rsidRPr="00EF4148" w:rsidRDefault="00080741" w:rsidP="00EF39C1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</w:tcPr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Experience of systems and software for landscape design, e.g. CAD, tree data bases, biodiversity and inventories of assets.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>Breadth of experience with regards to arboriculture, sports turf and glasshouse production and associated ancillary services such as workshops and maintenance.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>Experience of working collaboratively.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5349F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>Demonstration of driving performance improvement within teams.</w:t>
            </w:r>
          </w:p>
        </w:tc>
      </w:tr>
      <w:tr w:rsidR="00FA5351" w:rsidTr="00C33807">
        <w:trPr>
          <w:trHeight w:val="70"/>
        </w:trPr>
        <w:tc>
          <w:tcPr>
            <w:tcW w:w="1818" w:type="dxa"/>
          </w:tcPr>
          <w:p w:rsidR="00FA5351" w:rsidRPr="00BE2023" w:rsidRDefault="00EA6DC4" w:rsidP="00C33807">
            <w:pPr>
              <w:spacing w:before="40" w:after="40"/>
              <w:rPr>
                <w:rFonts w:ascii="Verdana" w:hAnsi="Verdana"/>
                <w:sz w:val="18"/>
                <w:szCs w:val="18"/>
                <w:lang w:val="en-US"/>
              </w:rPr>
            </w:pPr>
            <w:r w:rsidRPr="00BE2023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lastRenderedPageBreak/>
              <w:t>Knowledge/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br/>
            </w:r>
            <w:r w:rsidRPr="00BE2023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Skills/Trainin</w:t>
            </w:r>
            <w:r w:rsidR="00425BA4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667" w:type="dxa"/>
          </w:tcPr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Demonstrable experience of working proactively with colleagues from other service areas and deputising for senior managers as necessary.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Ability to actively monitor service delivery performance against appropriate benchmarks, KPIs and targets.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Ability to manage workload commitments when under pressure.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Conduct effective one-to-ones and development plans for staff and set objectives at personal and team level.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554256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Experience of managing and dealing with conflict effectively.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Motivated and prepared to take the initiative working with others to deliver the right outcome.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Ability to create, develop and implement a continuous improvement programme.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Experience of and ability to monitor and benchmark competitor performance.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Strong communication skills both at a one-to-one level and with staff groups, external audiences and key stakeholders.</w:t>
            </w: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EA6DC4" w:rsidRPr="00EF4148" w:rsidRDefault="00EA6DC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Excellent time management and prioritisation of tasks.</w:t>
            </w:r>
          </w:p>
          <w:p w:rsidR="00425BA4" w:rsidRPr="00EF4148" w:rsidRDefault="00425BA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425BA4" w:rsidRPr="00EF4148" w:rsidRDefault="00425BA4" w:rsidP="00EA6DC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Proven problem solving and analytical ability</w:t>
            </w:r>
          </w:p>
        </w:tc>
        <w:tc>
          <w:tcPr>
            <w:tcW w:w="3758" w:type="dxa"/>
          </w:tcPr>
          <w:p w:rsidR="008D2EB8" w:rsidRPr="00EF4148" w:rsidRDefault="008D2EB8" w:rsidP="001A73DD">
            <w:pPr>
              <w:spacing w:before="40" w:after="40"/>
              <w:rPr>
                <w:rFonts w:ascii="Arial" w:hAnsi="Arial" w:cs="Arial"/>
                <w:strike/>
                <w:sz w:val="22"/>
                <w:szCs w:val="22"/>
                <w:lang w:val="en-US"/>
              </w:rPr>
            </w:pPr>
          </w:p>
        </w:tc>
      </w:tr>
      <w:tr w:rsidR="00FA5351" w:rsidTr="00C33807">
        <w:trPr>
          <w:trHeight w:val="70"/>
        </w:trPr>
        <w:tc>
          <w:tcPr>
            <w:tcW w:w="1818" w:type="dxa"/>
          </w:tcPr>
          <w:p w:rsidR="00FA5351" w:rsidRPr="00BE2023" w:rsidRDefault="006E7C01" w:rsidP="00C33807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E2023">
              <w:rPr>
                <w:rFonts w:ascii="Verdana" w:hAnsi="Verdana"/>
                <w:b/>
                <w:sz w:val="18"/>
                <w:szCs w:val="18"/>
                <w:lang w:val="en-US"/>
              </w:rPr>
              <w:lastRenderedPageBreak/>
              <w:t>Statutory and Legal</w:t>
            </w:r>
          </w:p>
        </w:tc>
        <w:tc>
          <w:tcPr>
            <w:tcW w:w="3667" w:type="dxa"/>
          </w:tcPr>
          <w:p w:rsidR="00FA5351" w:rsidRPr="00EF4148" w:rsidRDefault="00717874" w:rsidP="00425BA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 xml:space="preserve">Proven knowledge and </w:t>
            </w:r>
            <w:r w:rsidR="006E7C01" w:rsidRPr="00EF4148">
              <w:rPr>
                <w:rFonts w:ascii="Arial" w:hAnsi="Arial" w:cs="Arial"/>
                <w:sz w:val="22"/>
                <w:szCs w:val="22"/>
                <w:lang w:val="en-US"/>
              </w:rPr>
              <w:t xml:space="preserve"> understanding of all current, relevant Health and Safety legislation affecting this role</w:t>
            </w:r>
          </w:p>
        </w:tc>
        <w:tc>
          <w:tcPr>
            <w:tcW w:w="3758" w:type="dxa"/>
          </w:tcPr>
          <w:p w:rsidR="002E7776" w:rsidRPr="00EF4148" w:rsidRDefault="006E7C01" w:rsidP="001A73DD">
            <w:pPr>
              <w:pStyle w:val="ListParagraph"/>
              <w:numPr>
                <w:ilvl w:val="0"/>
                <w:numId w:val="10"/>
              </w:numPr>
              <w:spacing w:before="40" w:after="40"/>
              <w:ind w:left="216" w:hanging="21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>Hold a formal Health &amp; Safety qualification</w:t>
            </w:r>
            <w:r w:rsidR="00E5221D" w:rsidRPr="00EF414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554256" w:rsidRPr="00EF414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E14C3" w:rsidRPr="00AE14C3">
              <w:rPr>
                <w:rFonts w:ascii="Arial" w:hAnsi="Arial" w:cs="Arial"/>
                <w:sz w:val="22"/>
                <w:szCs w:val="22"/>
                <w:lang w:val="en-US"/>
              </w:rPr>
              <w:t>i.e.</w:t>
            </w:r>
            <w:r w:rsidR="00E5221D" w:rsidRPr="00EF4148">
              <w:rPr>
                <w:rFonts w:ascii="Arial" w:hAnsi="Arial" w:cs="Arial"/>
                <w:sz w:val="22"/>
                <w:szCs w:val="22"/>
                <w:lang w:val="en-US"/>
              </w:rPr>
              <w:t xml:space="preserve"> NEBOSHH </w:t>
            </w:r>
          </w:p>
        </w:tc>
      </w:tr>
      <w:tr w:rsidR="006E7C01" w:rsidTr="00C33807">
        <w:trPr>
          <w:trHeight w:val="70"/>
        </w:trPr>
        <w:tc>
          <w:tcPr>
            <w:tcW w:w="1818" w:type="dxa"/>
          </w:tcPr>
          <w:p w:rsidR="006E7C01" w:rsidRPr="00BE2023" w:rsidRDefault="006E7C01" w:rsidP="00C33807">
            <w:pPr>
              <w:spacing w:before="40" w:after="40"/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</w:pPr>
            <w:r w:rsidRPr="00BE2023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3667" w:type="dxa"/>
          </w:tcPr>
          <w:p w:rsidR="00717874" w:rsidRPr="00EF4148" w:rsidRDefault="00717874" w:rsidP="00425BA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 xml:space="preserve">Full current driving </w:t>
            </w:r>
            <w:r w:rsidR="0037083F" w:rsidRPr="00EF4148">
              <w:rPr>
                <w:rFonts w:ascii="Arial" w:hAnsi="Arial" w:cs="Arial"/>
                <w:sz w:val="22"/>
                <w:szCs w:val="22"/>
                <w:lang w:val="en-US"/>
              </w:rPr>
              <w:t>license</w:t>
            </w: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 xml:space="preserve"> unless disability precludes this</w:t>
            </w:r>
          </w:p>
          <w:p w:rsidR="00080741" w:rsidRPr="00EF4148" w:rsidRDefault="00080741" w:rsidP="00425BA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</w:rPr>
              <w:t>Proactive approach to management</w:t>
            </w:r>
          </w:p>
          <w:p w:rsidR="00080741" w:rsidRPr="00EF4148" w:rsidRDefault="00080741" w:rsidP="00425BA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>Effective communicator with teams, other managers and stakeholders</w:t>
            </w:r>
          </w:p>
          <w:p w:rsidR="00224AF8" w:rsidRPr="00EF4148" w:rsidRDefault="00224AF8" w:rsidP="00425BA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>Excellent attention to detail</w:t>
            </w:r>
          </w:p>
          <w:p w:rsidR="00224AF8" w:rsidRPr="00EF4148" w:rsidRDefault="00554256" w:rsidP="00425BA4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4148">
              <w:rPr>
                <w:rFonts w:ascii="Arial" w:hAnsi="Arial" w:cs="Arial"/>
                <w:sz w:val="22"/>
                <w:szCs w:val="22"/>
                <w:lang w:val="en-US"/>
              </w:rPr>
              <w:t>Ability t</w:t>
            </w:r>
            <w:r w:rsidR="00224AF8" w:rsidRPr="00EF4148">
              <w:rPr>
                <w:rFonts w:ascii="Arial" w:hAnsi="Arial" w:cs="Arial"/>
                <w:sz w:val="22"/>
                <w:szCs w:val="22"/>
                <w:lang w:val="en-US"/>
              </w:rPr>
              <w:t>o attend ou</w:t>
            </w:r>
            <w:r w:rsidR="00C33807" w:rsidRPr="00EF4148">
              <w:rPr>
                <w:rFonts w:ascii="Arial" w:hAnsi="Arial" w:cs="Arial"/>
                <w:sz w:val="22"/>
                <w:szCs w:val="22"/>
                <w:lang w:val="en-US"/>
              </w:rPr>
              <w:t>t-</w:t>
            </w:r>
            <w:r w:rsidR="00224AF8" w:rsidRPr="00EF4148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C33807" w:rsidRPr="00EF4148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224AF8" w:rsidRPr="00EF4148">
              <w:rPr>
                <w:rFonts w:ascii="Arial" w:hAnsi="Arial" w:cs="Arial"/>
                <w:sz w:val="22"/>
                <w:szCs w:val="22"/>
                <w:lang w:val="en-US"/>
              </w:rPr>
              <w:t>hours emergencies</w:t>
            </w:r>
          </w:p>
        </w:tc>
        <w:tc>
          <w:tcPr>
            <w:tcW w:w="3758" w:type="dxa"/>
          </w:tcPr>
          <w:p w:rsidR="006E7C01" w:rsidRPr="00EF4148" w:rsidRDefault="006E7C01" w:rsidP="00DA43DD">
            <w:pPr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A43DD" w:rsidRDefault="00DA43DD">
      <w:pPr>
        <w:rPr>
          <w:rFonts w:ascii="Verdana" w:hAnsi="Verdana"/>
          <w:b/>
          <w:lang w:val="en-US"/>
        </w:rPr>
      </w:pPr>
    </w:p>
    <w:p w:rsidR="00786210" w:rsidRDefault="00786210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NHE006316</w:t>
      </w:r>
      <w:bookmarkStart w:id="0" w:name="_GoBack"/>
      <w:bookmarkEnd w:id="0"/>
    </w:p>
    <w:sectPr w:rsidR="00786210" w:rsidSect="00AF2218">
      <w:footerReference w:type="even" r:id="rId9"/>
      <w:footerReference w:type="default" r:id="rId10"/>
      <w:pgSz w:w="11907" w:h="16840" w:code="9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48" w:rsidRDefault="00F46848">
      <w:r>
        <w:separator/>
      </w:r>
    </w:p>
  </w:endnote>
  <w:endnote w:type="continuationSeparator" w:id="0">
    <w:p w:rsidR="00F46848" w:rsidRDefault="00F4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3" w:rsidRDefault="009D2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D2BE3" w:rsidRDefault="009D2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E3" w:rsidRPr="00E211D2" w:rsidRDefault="00AF2218" w:rsidP="006D2ABA">
    <w:pPr>
      <w:pStyle w:val="Footer"/>
      <w:tabs>
        <w:tab w:val="clear" w:pos="4153"/>
        <w:tab w:val="clear" w:pos="8306"/>
        <w:tab w:val="right" w:pos="909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  \* MERGEFORMAT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Estates_</w:t>
    </w:r>
    <w:r w:rsidR="00425BA4">
      <w:rPr>
        <w:rFonts w:ascii="Verdana" w:hAnsi="Verdana"/>
        <w:noProof/>
        <w:sz w:val="16"/>
        <w:szCs w:val="16"/>
      </w:rPr>
      <w:t>Grounds Manager JAN 2016</w:t>
    </w:r>
    <w:r>
      <w:rPr>
        <w:rFonts w:ascii="Verdana" w:hAnsi="Verdana"/>
        <w:sz w:val="16"/>
        <w:szCs w:val="16"/>
      </w:rPr>
      <w:fldChar w:fldCharType="end"/>
    </w:r>
    <w:r w:rsidR="009D2BE3" w:rsidRPr="00E211D2">
      <w:rPr>
        <w:rFonts w:ascii="Verdana" w:hAnsi="Verdana"/>
        <w:sz w:val="16"/>
        <w:szCs w:val="16"/>
      </w:rPr>
      <w:tab/>
    </w:r>
    <w:r w:rsidR="009D2BE3" w:rsidRPr="00E211D2">
      <w:rPr>
        <w:rStyle w:val="PageNumber"/>
        <w:rFonts w:ascii="Verdana" w:hAnsi="Verdana"/>
        <w:sz w:val="16"/>
        <w:szCs w:val="16"/>
      </w:rPr>
      <w:fldChar w:fldCharType="begin"/>
    </w:r>
    <w:r w:rsidR="009D2BE3" w:rsidRPr="00E211D2">
      <w:rPr>
        <w:rStyle w:val="PageNumber"/>
        <w:rFonts w:ascii="Verdana" w:hAnsi="Verdana"/>
        <w:sz w:val="16"/>
        <w:szCs w:val="16"/>
      </w:rPr>
      <w:instrText xml:space="preserve"> PAGE </w:instrText>
    </w:r>
    <w:r w:rsidR="009D2BE3" w:rsidRPr="00E211D2">
      <w:rPr>
        <w:rStyle w:val="PageNumber"/>
        <w:rFonts w:ascii="Verdana" w:hAnsi="Verdana"/>
        <w:sz w:val="16"/>
        <w:szCs w:val="16"/>
      </w:rPr>
      <w:fldChar w:fldCharType="separate"/>
    </w:r>
    <w:r w:rsidR="00786210">
      <w:rPr>
        <w:rStyle w:val="PageNumber"/>
        <w:rFonts w:ascii="Verdana" w:hAnsi="Verdana"/>
        <w:noProof/>
        <w:sz w:val="16"/>
        <w:szCs w:val="16"/>
      </w:rPr>
      <w:t>1</w:t>
    </w:r>
    <w:r w:rsidR="009D2BE3" w:rsidRPr="00E211D2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48" w:rsidRDefault="00F46848">
      <w:r>
        <w:separator/>
      </w:r>
    </w:p>
  </w:footnote>
  <w:footnote w:type="continuationSeparator" w:id="0">
    <w:p w:rsidR="00F46848" w:rsidRDefault="00F4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E64"/>
    <w:multiLevelType w:val="hybridMultilevel"/>
    <w:tmpl w:val="4C665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D20F20"/>
    <w:multiLevelType w:val="hybridMultilevel"/>
    <w:tmpl w:val="DF42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2069"/>
    <w:multiLevelType w:val="hybridMultilevel"/>
    <w:tmpl w:val="FF96B33C"/>
    <w:lvl w:ilvl="0" w:tplc="16FE65E8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5800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D42123"/>
    <w:multiLevelType w:val="hybridMultilevel"/>
    <w:tmpl w:val="CC34A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3711B"/>
    <w:multiLevelType w:val="hybridMultilevel"/>
    <w:tmpl w:val="21B2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D31DD"/>
    <w:multiLevelType w:val="singleLevel"/>
    <w:tmpl w:val="9D2E7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7719AB"/>
    <w:multiLevelType w:val="hybridMultilevel"/>
    <w:tmpl w:val="E0D87E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BA562EF"/>
    <w:multiLevelType w:val="hybridMultilevel"/>
    <w:tmpl w:val="0B10D95E"/>
    <w:lvl w:ilvl="0" w:tplc="D8086C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00577"/>
    <w:multiLevelType w:val="hybridMultilevel"/>
    <w:tmpl w:val="8D14A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F"/>
    <w:rsid w:val="000063DE"/>
    <w:rsid w:val="00041961"/>
    <w:rsid w:val="000479FC"/>
    <w:rsid w:val="0005260A"/>
    <w:rsid w:val="00072E98"/>
    <w:rsid w:val="00073BDC"/>
    <w:rsid w:val="00080741"/>
    <w:rsid w:val="000860A1"/>
    <w:rsid w:val="00090667"/>
    <w:rsid w:val="000962E7"/>
    <w:rsid w:val="000A2814"/>
    <w:rsid w:val="000A5301"/>
    <w:rsid w:val="000C1928"/>
    <w:rsid w:val="000E168A"/>
    <w:rsid w:val="0011642F"/>
    <w:rsid w:val="0013240C"/>
    <w:rsid w:val="00154ABE"/>
    <w:rsid w:val="001622CB"/>
    <w:rsid w:val="001738D3"/>
    <w:rsid w:val="00181E50"/>
    <w:rsid w:val="00183FCF"/>
    <w:rsid w:val="001861D2"/>
    <w:rsid w:val="001916A2"/>
    <w:rsid w:val="001A73DD"/>
    <w:rsid w:val="001C5874"/>
    <w:rsid w:val="001F72E3"/>
    <w:rsid w:val="00203056"/>
    <w:rsid w:val="00206A91"/>
    <w:rsid w:val="00224AF8"/>
    <w:rsid w:val="00232324"/>
    <w:rsid w:val="00235BFA"/>
    <w:rsid w:val="00235D41"/>
    <w:rsid w:val="00235D76"/>
    <w:rsid w:val="00244C2E"/>
    <w:rsid w:val="0027263A"/>
    <w:rsid w:val="00287AC7"/>
    <w:rsid w:val="002A4BF4"/>
    <w:rsid w:val="002C07E4"/>
    <w:rsid w:val="002C36FD"/>
    <w:rsid w:val="002D4E6B"/>
    <w:rsid w:val="002E1978"/>
    <w:rsid w:val="002E5C8E"/>
    <w:rsid w:val="002E67C5"/>
    <w:rsid w:val="002E7776"/>
    <w:rsid w:val="002F64C1"/>
    <w:rsid w:val="002F6D15"/>
    <w:rsid w:val="003015EB"/>
    <w:rsid w:val="00312EBE"/>
    <w:rsid w:val="0031409A"/>
    <w:rsid w:val="00314A68"/>
    <w:rsid w:val="003221A0"/>
    <w:rsid w:val="00325B71"/>
    <w:rsid w:val="00330D2C"/>
    <w:rsid w:val="00336B69"/>
    <w:rsid w:val="00354461"/>
    <w:rsid w:val="00361E07"/>
    <w:rsid w:val="0037083F"/>
    <w:rsid w:val="003839F3"/>
    <w:rsid w:val="003D5071"/>
    <w:rsid w:val="003E3C02"/>
    <w:rsid w:val="0040460A"/>
    <w:rsid w:val="00410FF9"/>
    <w:rsid w:val="004145D0"/>
    <w:rsid w:val="004160AA"/>
    <w:rsid w:val="00425BA4"/>
    <w:rsid w:val="00463B93"/>
    <w:rsid w:val="00477A2B"/>
    <w:rsid w:val="00490CFB"/>
    <w:rsid w:val="004B3BC6"/>
    <w:rsid w:val="004B75EB"/>
    <w:rsid w:val="004D5C2C"/>
    <w:rsid w:val="00502706"/>
    <w:rsid w:val="00505C84"/>
    <w:rsid w:val="00506859"/>
    <w:rsid w:val="00507E1A"/>
    <w:rsid w:val="00510798"/>
    <w:rsid w:val="00513430"/>
    <w:rsid w:val="005268DB"/>
    <w:rsid w:val="005279A1"/>
    <w:rsid w:val="00536392"/>
    <w:rsid w:val="00554256"/>
    <w:rsid w:val="005840E6"/>
    <w:rsid w:val="0058559B"/>
    <w:rsid w:val="00590E52"/>
    <w:rsid w:val="00592F53"/>
    <w:rsid w:val="00593469"/>
    <w:rsid w:val="005C5CF8"/>
    <w:rsid w:val="005D14F4"/>
    <w:rsid w:val="005D721B"/>
    <w:rsid w:val="005E3274"/>
    <w:rsid w:val="00601417"/>
    <w:rsid w:val="006230D2"/>
    <w:rsid w:val="0064786D"/>
    <w:rsid w:val="00654D80"/>
    <w:rsid w:val="00666D7D"/>
    <w:rsid w:val="00670CA3"/>
    <w:rsid w:val="006778B2"/>
    <w:rsid w:val="0068149C"/>
    <w:rsid w:val="00687669"/>
    <w:rsid w:val="006A065B"/>
    <w:rsid w:val="006B07F5"/>
    <w:rsid w:val="006B6E05"/>
    <w:rsid w:val="006B7B21"/>
    <w:rsid w:val="006D2ABA"/>
    <w:rsid w:val="006E4F36"/>
    <w:rsid w:val="006E6B47"/>
    <w:rsid w:val="006E7C01"/>
    <w:rsid w:val="006F7309"/>
    <w:rsid w:val="00715A29"/>
    <w:rsid w:val="00715C87"/>
    <w:rsid w:val="00716A7F"/>
    <w:rsid w:val="00717874"/>
    <w:rsid w:val="00721279"/>
    <w:rsid w:val="00741C01"/>
    <w:rsid w:val="0076648F"/>
    <w:rsid w:val="00781B4B"/>
    <w:rsid w:val="00786210"/>
    <w:rsid w:val="00790E53"/>
    <w:rsid w:val="007A13B6"/>
    <w:rsid w:val="007A6CB9"/>
    <w:rsid w:val="007B2143"/>
    <w:rsid w:val="007B47AF"/>
    <w:rsid w:val="007D5CD6"/>
    <w:rsid w:val="007E391B"/>
    <w:rsid w:val="007F20E8"/>
    <w:rsid w:val="008264E0"/>
    <w:rsid w:val="00831CFD"/>
    <w:rsid w:val="00832998"/>
    <w:rsid w:val="008505E0"/>
    <w:rsid w:val="00851459"/>
    <w:rsid w:val="00861F78"/>
    <w:rsid w:val="00864143"/>
    <w:rsid w:val="00867FEB"/>
    <w:rsid w:val="0087600A"/>
    <w:rsid w:val="0088622B"/>
    <w:rsid w:val="00895264"/>
    <w:rsid w:val="008A405B"/>
    <w:rsid w:val="008B6596"/>
    <w:rsid w:val="008D2EB8"/>
    <w:rsid w:val="008E21E4"/>
    <w:rsid w:val="00900442"/>
    <w:rsid w:val="00901E38"/>
    <w:rsid w:val="0090495C"/>
    <w:rsid w:val="00907A6D"/>
    <w:rsid w:val="0092754B"/>
    <w:rsid w:val="00933FEC"/>
    <w:rsid w:val="0095349F"/>
    <w:rsid w:val="00972BBB"/>
    <w:rsid w:val="00980E70"/>
    <w:rsid w:val="009C0F90"/>
    <w:rsid w:val="009D2BE3"/>
    <w:rsid w:val="009D6685"/>
    <w:rsid w:val="009E4A59"/>
    <w:rsid w:val="00A12B3E"/>
    <w:rsid w:val="00A16670"/>
    <w:rsid w:val="00A47737"/>
    <w:rsid w:val="00A54B79"/>
    <w:rsid w:val="00A6056B"/>
    <w:rsid w:val="00A63B74"/>
    <w:rsid w:val="00AC107E"/>
    <w:rsid w:val="00AC386D"/>
    <w:rsid w:val="00AE14C3"/>
    <w:rsid w:val="00AF2218"/>
    <w:rsid w:val="00AF7988"/>
    <w:rsid w:val="00B12ABC"/>
    <w:rsid w:val="00B13056"/>
    <w:rsid w:val="00B25630"/>
    <w:rsid w:val="00B35118"/>
    <w:rsid w:val="00B40465"/>
    <w:rsid w:val="00B56546"/>
    <w:rsid w:val="00B57CDA"/>
    <w:rsid w:val="00B735DC"/>
    <w:rsid w:val="00B812AE"/>
    <w:rsid w:val="00B81C9F"/>
    <w:rsid w:val="00B93348"/>
    <w:rsid w:val="00B97390"/>
    <w:rsid w:val="00B9788C"/>
    <w:rsid w:val="00BA5F9C"/>
    <w:rsid w:val="00BC05D9"/>
    <w:rsid w:val="00BC3303"/>
    <w:rsid w:val="00BC4662"/>
    <w:rsid w:val="00BE2023"/>
    <w:rsid w:val="00C236FA"/>
    <w:rsid w:val="00C23BF7"/>
    <w:rsid w:val="00C26435"/>
    <w:rsid w:val="00C33807"/>
    <w:rsid w:val="00C364F0"/>
    <w:rsid w:val="00C378E2"/>
    <w:rsid w:val="00C41FBE"/>
    <w:rsid w:val="00C52FC3"/>
    <w:rsid w:val="00C61CC7"/>
    <w:rsid w:val="00C65795"/>
    <w:rsid w:val="00C7064E"/>
    <w:rsid w:val="00C90269"/>
    <w:rsid w:val="00C96BE4"/>
    <w:rsid w:val="00CB16F8"/>
    <w:rsid w:val="00CB2D3A"/>
    <w:rsid w:val="00CC2E31"/>
    <w:rsid w:val="00D053C8"/>
    <w:rsid w:val="00D11A90"/>
    <w:rsid w:val="00D15A6E"/>
    <w:rsid w:val="00D15CE3"/>
    <w:rsid w:val="00D16F3B"/>
    <w:rsid w:val="00D217F6"/>
    <w:rsid w:val="00D275F9"/>
    <w:rsid w:val="00D34448"/>
    <w:rsid w:val="00D42870"/>
    <w:rsid w:val="00D56794"/>
    <w:rsid w:val="00D6027F"/>
    <w:rsid w:val="00D6216C"/>
    <w:rsid w:val="00D70365"/>
    <w:rsid w:val="00D907B6"/>
    <w:rsid w:val="00DA43DD"/>
    <w:rsid w:val="00DA615A"/>
    <w:rsid w:val="00DB07CD"/>
    <w:rsid w:val="00DC006B"/>
    <w:rsid w:val="00DC0107"/>
    <w:rsid w:val="00DC0D2F"/>
    <w:rsid w:val="00DC2B03"/>
    <w:rsid w:val="00DF2BEB"/>
    <w:rsid w:val="00E135C9"/>
    <w:rsid w:val="00E211D2"/>
    <w:rsid w:val="00E359A3"/>
    <w:rsid w:val="00E440C3"/>
    <w:rsid w:val="00E45A7F"/>
    <w:rsid w:val="00E508AB"/>
    <w:rsid w:val="00E51B18"/>
    <w:rsid w:val="00E5221D"/>
    <w:rsid w:val="00E653D5"/>
    <w:rsid w:val="00E71B9A"/>
    <w:rsid w:val="00E82CCA"/>
    <w:rsid w:val="00E9365E"/>
    <w:rsid w:val="00EA6DC4"/>
    <w:rsid w:val="00EB5753"/>
    <w:rsid w:val="00EC2561"/>
    <w:rsid w:val="00ED1B18"/>
    <w:rsid w:val="00EE0260"/>
    <w:rsid w:val="00EE3792"/>
    <w:rsid w:val="00EE6606"/>
    <w:rsid w:val="00EF39C1"/>
    <w:rsid w:val="00EF4148"/>
    <w:rsid w:val="00EF43D0"/>
    <w:rsid w:val="00F00F48"/>
    <w:rsid w:val="00F119E1"/>
    <w:rsid w:val="00F14C00"/>
    <w:rsid w:val="00F16BE7"/>
    <w:rsid w:val="00F205F4"/>
    <w:rsid w:val="00F46848"/>
    <w:rsid w:val="00F5432D"/>
    <w:rsid w:val="00F61BC7"/>
    <w:rsid w:val="00F67CBC"/>
    <w:rsid w:val="00F70BFC"/>
    <w:rsid w:val="00F728F1"/>
    <w:rsid w:val="00F7315E"/>
    <w:rsid w:val="00F848A9"/>
    <w:rsid w:val="00F979E8"/>
    <w:rsid w:val="00FA5351"/>
    <w:rsid w:val="00FA6583"/>
    <w:rsid w:val="00FB3157"/>
    <w:rsid w:val="00FC2403"/>
    <w:rsid w:val="00FE55BD"/>
    <w:rsid w:val="00FF04DA"/>
    <w:rsid w:val="00FF0764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FC3"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pPr>
      <w:spacing w:before="120" w:after="120"/>
      <w:jc w:val="center"/>
    </w:pPr>
    <w:rPr>
      <w:b/>
      <w:sz w:val="28"/>
      <w:lang w:val="x-no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uiPriority w:val="99"/>
    <w:rPr>
      <w:i/>
      <w:lang w:val="x-non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table" w:styleId="TableGrid">
    <w:name w:val="Table Grid"/>
    <w:basedOn w:val="TableNormal"/>
    <w:rsid w:val="00E6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9D6685"/>
    <w:rPr>
      <w:b/>
      <w:sz w:val="28"/>
      <w:lang w:eastAsia="en-GB"/>
    </w:rPr>
  </w:style>
  <w:style w:type="character" w:customStyle="1" w:styleId="BodyTextChar">
    <w:name w:val="Body Text Char"/>
    <w:link w:val="BodyText"/>
    <w:uiPriority w:val="99"/>
    <w:locked/>
    <w:rsid w:val="005E3274"/>
    <w:rPr>
      <w:i/>
      <w:lang w:eastAsia="en-GB"/>
    </w:rPr>
  </w:style>
  <w:style w:type="paragraph" w:styleId="ListParagraph">
    <w:name w:val="List Paragraph"/>
    <w:basedOn w:val="Normal"/>
    <w:uiPriority w:val="99"/>
    <w:qFormat/>
    <w:rsid w:val="005E32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16A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16A2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383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FC3"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pPr>
      <w:spacing w:before="120" w:after="120"/>
      <w:jc w:val="center"/>
    </w:pPr>
    <w:rPr>
      <w:b/>
      <w:sz w:val="28"/>
      <w:lang w:val="x-no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uiPriority w:val="99"/>
    <w:rPr>
      <w:i/>
      <w:lang w:val="x-non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Verdana" w:hAnsi="Verdana"/>
    </w:rPr>
  </w:style>
  <w:style w:type="table" w:styleId="TableGrid">
    <w:name w:val="Table Grid"/>
    <w:basedOn w:val="TableNormal"/>
    <w:rsid w:val="00E6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9D6685"/>
    <w:rPr>
      <w:b/>
      <w:sz w:val="28"/>
      <w:lang w:eastAsia="en-GB"/>
    </w:rPr>
  </w:style>
  <w:style w:type="character" w:customStyle="1" w:styleId="BodyTextChar">
    <w:name w:val="Body Text Char"/>
    <w:link w:val="BodyText"/>
    <w:uiPriority w:val="99"/>
    <w:locked/>
    <w:rsid w:val="005E3274"/>
    <w:rPr>
      <w:i/>
      <w:lang w:eastAsia="en-GB"/>
    </w:rPr>
  </w:style>
  <w:style w:type="paragraph" w:styleId="ListParagraph">
    <w:name w:val="List Paragraph"/>
    <w:basedOn w:val="Normal"/>
    <w:uiPriority w:val="99"/>
    <w:qFormat/>
    <w:rsid w:val="005E32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16A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16A2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38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C6CA-4761-4AA7-9E23-7BBE49E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5164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Nottingham</vt:lpstr>
    </vt:vector>
  </TitlesOfParts>
  <Company>The University of Nottingham</Company>
  <LinksUpToDate>false</LinksUpToDate>
  <CharactersWithSpaces>5965</CharactersWithSpaces>
  <SharedDoc>false</SharedDoc>
  <HLinks>
    <vt:vector size="12" baseType="variant">
      <vt:variant>
        <vt:i4>3604492</vt:i4>
      </vt:variant>
      <vt:variant>
        <vt:i4>3</vt:i4>
      </vt:variant>
      <vt:variant>
        <vt:i4>0</vt:i4>
      </vt:variant>
      <vt:variant>
        <vt:i4>5</vt:i4>
      </vt:variant>
      <vt:variant>
        <vt:lpwstr>mailto:mark.bonsall@nottingham.ac.uk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http://www.ukba.homeoffice.gov.uk/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Nottingham</dc:title>
  <dc:creator>Personnel Dept</dc:creator>
  <cp:lastModifiedBy>Roberts Glenis</cp:lastModifiedBy>
  <cp:revision>2</cp:revision>
  <cp:lastPrinted>2012-08-17T14:51:00Z</cp:lastPrinted>
  <dcterms:created xsi:type="dcterms:W3CDTF">2016-01-22T15:15:00Z</dcterms:created>
  <dcterms:modified xsi:type="dcterms:W3CDTF">2016-01-22T15:15:00Z</dcterms:modified>
</cp:coreProperties>
</file>