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3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2024"/>
        <w:gridCol w:w="267"/>
        <w:gridCol w:w="5365"/>
      </w:tblGrid>
      <w:tr w:rsidR="007F06EE" w:rsidRPr="00E87C3C" w14:paraId="7A78AE76" w14:textId="77777777" w:rsidTr="008819AB">
        <w:trPr>
          <w:trHeight w:hRule="exact" w:val="567"/>
        </w:trPr>
        <w:tc>
          <w:tcPr>
            <w:tcW w:w="1073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4546A" w:themeColor="text2"/>
              <w:right w:val="single" w:sz="4" w:space="0" w:color="FFFFFF" w:themeColor="background1"/>
            </w:tcBorders>
          </w:tcPr>
          <w:p w14:paraId="7D624027" w14:textId="127D3821" w:rsidR="009F5C5E" w:rsidRPr="009B5E70" w:rsidRDefault="009F5C5E" w:rsidP="009F5C5E">
            <w:pPr>
              <w:rPr>
                <w:rFonts w:cstheme="minorHAnsi"/>
                <w:b/>
                <w:szCs w:val="20"/>
                <w:lang w:val="en-US"/>
              </w:rPr>
            </w:pPr>
            <w:r w:rsidRPr="009B5E70">
              <w:rPr>
                <w:rFonts w:cstheme="minorHAnsi"/>
                <w:b/>
                <w:szCs w:val="20"/>
                <w:lang w:val="en-US"/>
              </w:rPr>
              <w:t xml:space="preserve">We are looking for a talented </w:t>
            </w:r>
            <w:r w:rsidR="004B5128">
              <w:rPr>
                <w:rFonts w:cstheme="minorHAnsi"/>
                <w:b/>
                <w:szCs w:val="20"/>
                <w:lang w:val="en-US"/>
              </w:rPr>
              <w:t>&amp;</w:t>
            </w:r>
            <w:r w:rsidR="004B5128" w:rsidRPr="009B5E70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Pr="009B5E70">
              <w:rPr>
                <w:rFonts w:cstheme="minorHAnsi"/>
                <w:b/>
                <w:szCs w:val="20"/>
                <w:lang w:val="en-US"/>
              </w:rPr>
              <w:t>motivated scientist</w:t>
            </w:r>
            <w:r w:rsidR="009B5E70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="004B5128">
              <w:rPr>
                <w:rFonts w:cstheme="minorHAnsi"/>
                <w:b/>
                <w:szCs w:val="20"/>
                <w:lang w:val="en-US"/>
              </w:rPr>
              <w:t>Early Stage Researcher</w:t>
            </w:r>
            <w:r w:rsidRPr="009B5E70">
              <w:rPr>
                <w:rFonts w:cstheme="minorHAnsi"/>
                <w:b/>
                <w:szCs w:val="20"/>
                <w:lang w:val="en-US"/>
              </w:rPr>
              <w:t xml:space="preserve"> to advance an exciting research project</w:t>
            </w:r>
            <w:r w:rsidR="004B5128">
              <w:rPr>
                <w:rFonts w:cstheme="minorHAnsi"/>
                <w:b/>
                <w:szCs w:val="20"/>
                <w:lang w:val="en-US"/>
              </w:rPr>
              <w:t xml:space="preserve"> &amp; undertake a fully funded PhD</w:t>
            </w:r>
            <w:r w:rsidRPr="009B5E70">
              <w:rPr>
                <w:rFonts w:cstheme="minorHAnsi"/>
                <w:b/>
                <w:szCs w:val="20"/>
                <w:lang w:val="en-US"/>
              </w:rPr>
              <w:t>:</w:t>
            </w:r>
          </w:p>
          <w:p w14:paraId="3D442628" w14:textId="77777777" w:rsidR="007F06EE" w:rsidRPr="00E87C3C" w:rsidRDefault="007F06EE" w:rsidP="0041164B">
            <w:pPr>
              <w:rPr>
                <w:rFonts w:cstheme="minorHAnsi"/>
              </w:rPr>
            </w:pPr>
          </w:p>
        </w:tc>
      </w:tr>
      <w:tr w:rsidR="00D60B6C" w:rsidRPr="00E87C3C" w14:paraId="379ACBF5" w14:textId="77777777" w:rsidTr="0047132D">
        <w:tc>
          <w:tcPr>
            <w:tcW w:w="3074" w:type="dxa"/>
            <w:tcBorders>
              <w:bottom w:val="single" w:sz="4" w:space="0" w:color="44546A" w:themeColor="text2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2C9CE38" w14:textId="77777777" w:rsidR="00D60B6C" w:rsidRPr="00E87C3C" w:rsidRDefault="00361554" w:rsidP="00361554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  <w:lang w:val="en-US"/>
              </w:rPr>
            </w:pPr>
            <w:r w:rsidRPr="00E87C3C">
              <w:rPr>
                <w:rFonts w:cstheme="minorHAnsi"/>
                <w:b/>
                <w:noProof/>
                <w:color w:val="FFFFFF" w:themeColor="background1"/>
                <w:sz w:val="40"/>
                <w:szCs w:val="40"/>
                <w:lang w:val="en-GB" w:eastAsia="en-GB"/>
              </w:rPr>
              <w:drawing>
                <wp:inline distT="0" distB="0" distL="0" distR="0" wp14:anchorId="5626FC4C" wp14:editId="30A9DE5B">
                  <wp:extent cx="1615440" cy="943941"/>
                  <wp:effectExtent l="0" t="0" r="381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spireTXT-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717" cy="94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8FCCF" w14:textId="77777777" w:rsidR="00D60B6C" w:rsidRPr="00E87C3C" w:rsidRDefault="00D60B6C" w:rsidP="00361554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75074918" w14:textId="77777777" w:rsidR="00D60B6C" w:rsidRPr="00AC0D42" w:rsidRDefault="00D60B6C" w:rsidP="00361554">
            <w:pPr>
              <w:shd w:val="clear" w:color="auto" w:fill="1F4E79" w:themeFill="accent1" w:themeFillShade="80"/>
              <w:jc w:val="center"/>
              <w:rPr>
                <w:rFonts w:cstheme="minorHAnsi"/>
                <w:color w:val="BFBFBF" w:themeColor="background1" w:themeShade="BF"/>
                <w:sz w:val="16"/>
                <w:lang w:val="en-US"/>
              </w:rPr>
            </w:pPr>
          </w:p>
          <w:p w14:paraId="338C21E5" w14:textId="4723AD53" w:rsidR="00D60B6C" w:rsidRPr="00101716" w:rsidRDefault="00D60B6C" w:rsidP="00361554">
            <w:pPr>
              <w:shd w:val="clear" w:color="auto" w:fill="1F4E79" w:themeFill="accent1" w:themeFillShade="80"/>
              <w:jc w:val="center"/>
              <w:rPr>
                <w:rFonts w:cstheme="minorHAnsi"/>
                <w:b/>
                <w:bCs/>
                <w:color w:val="BFBFBF" w:themeColor="background1" w:themeShade="BF"/>
                <w:sz w:val="44"/>
                <w:szCs w:val="36"/>
                <w:lang w:val="en-GB"/>
              </w:rPr>
            </w:pPr>
            <w:r w:rsidRPr="00101716">
              <w:rPr>
                <w:rFonts w:cstheme="minorHAnsi"/>
                <w:b/>
                <w:bCs/>
                <w:color w:val="BFBFBF" w:themeColor="background1" w:themeShade="BF"/>
                <w:sz w:val="44"/>
                <w:szCs w:val="36"/>
                <w:lang w:val="en-GB"/>
              </w:rPr>
              <w:t>Early Stage Researcher (ESR1</w:t>
            </w:r>
            <w:r w:rsidR="00101716" w:rsidRPr="00101716">
              <w:rPr>
                <w:rFonts w:cstheme="minorHAnsi"/>
                <w:b/>
                <w:bCs/>
                <w:color w:val="BFBFBF" w:themeColor="background1" w:themeShade="BF"/>
                <w:sz w:val="44"/>
                <w:szCs w:val="36"/>
                <w:lang w:val="en-GB"/>
              </w:rPr>
              <w:t>1</w:t>
            </w:r>
            <w:r w:rsidRPr="00101716">
              <w:rPr>
                <w:rFonts w:cstheme="minorHAnsi"/>
                <w:b/>
                <w:bCs/>
                <w:color w:val="BFBFBF" w:themeColor="background1" w:themeShade="BF"/>
                <w:sz w:val="44"/>
                <w:szCs w:val="36"/>
                <w:lang w:val="en-GB"/>
              </w:rPr>
              <w:t>)</w:t>
            </w:r>
          </w:p>
          <w:p w14:paraId="04973361" w14:textId="702A5673" w:rsidR="00101716" w:rsidRPr="00F30EF2" w:rsidRDefault="00F30EF2" w:rsidP="00F30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>New</w:t>
            </w:r>
            <w:r w:rsidRPr="00F30EF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 xml:space="preserve"> pre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>-</w:t>
            </w:r>
            <w:r w:rsidRPr="00F30EF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>clinical screen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>s</w:t>
            </w:r>
            <w:r w:rsidRPr="00F30EF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 xml:space="preserve"> in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44"/>
                <w:szCs w:val="36"/>
              </w:rPr>
              <w:t>safety pharmacology</w:t>
            </w:r>
          </w:p>
        </w:tc>
      </w:tr>
      <w:tr w:rsidR="008819AB" w:rsidRPr="00E87C3C" w14:paraId="3BA0D288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F46ED" w14:textId="77777777" w:rsidR="008819AB" w:rsidRPr="00EF6346" w:rsidRDefault="008819AB" w:rsidP="0041164B">
            <w:pPr>
              <w:rPr>
                <w:rFonts w:cstheme="minorHAnsi"/>
                <w:noProof/>
                <w:sz w:val="4"/>
              </w:rPr>
            </w:pPr>
          </w:p>
        </w:tc>
      </w:tr>
      <w:tr w:rsidR="00361554" w:rsidRPr="00E87C3C" w14:paraId="1DE942B1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23B97C7B" w14:textId="77777777" w:rsidR="00361554" w:rsidRPr="0047132D" w:rsidRDefault="00DF31A3" w:rsidP="00361554">
            <w:pPr>
              <w:jc w:val="center"/>
              <w:rPr>
                <w:rFonts w:cstheme="minorHAnsi"/>
                <w:b/>
                <w:lang w:val="en-US"/>
              </w:rPr>
            </w:pPr>
            <w:r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About </w:t>
            </w:r>
            <w:r w:rsidR="00361554"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INSPIRE</w:t>
            </w:r>
            <w:r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 – A European Training Network in Safety Pharmacology</w:t>
            </w:r>
          </w:p>
        </w:tc>
      </w:tr>
      <w:tr w:rsidR="00361554" w:rsidRPr="00E87C3C" w14:paraId="270C0047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04922" w14:textId="1A5D78DF" w:rsidR="009F4D16" w:rsidRDefault="00361554" w:rsidP="00361554">
            <w:pPr>
              <w:jc w:val="both"/>
              <w:rPr>
                <w:rFonts w:cstheme="minorHAnsi"/>
                <w:lang w:val="en-US"/>
              </w:rPr>
            </w:pPr>
            <w:r w:rsidRPr="009F5C5E">
              <w:rPr>
                <w:rFonts w:cstheme="minorHAnsi"/>
                <w:lang w:val="en-US"/>
              </w:rPr>
              <w:t>The vision of INSPIRE is to advance and “inspire” Safety Pharmacology by exploring new technological capabilities to addressing emerging cardiovascular safety concerns.</w:t>
            </w:r>
            <w:r w:rsidR="004B5128">
              <w:rPr>
                <w:rFonts w:cstheme="minorHAnsi"/>
                <w:lang w:val="en-US"/>
              </w:rPr>
              <w:t xml:space="preserve"> </w:t>
            </w:r>
            <w:r w:rsidRPr="009F5C5E">
              <w:rPr>
                <w:rFonts w:cstheme="minorHAnsi"/>
                <w:lang w:val="en-US"/>
              </w:rPr>
              <w:t xml:space="preserve">INSPIRE unites expertise from academic teams, technology-providers, pharmaceutical companies, regulators and hospitals to create a European </w:t>
            </w:r>
            <w:r w:rsidR="004B5128">
              <w:rPr>
                <w:rFonts w:cstheme="minorHAnsi"/>
                <w:lang w:val="en-US"/>
              </w:rPr>
              <w:t>T</w:t>
            </w:r>
            <w:r w:rsidRPr="009F5C5E">
              <w:rPr>
                <w:rFonts w:cstheme="minorHAnsi"/>
                <w:lang w:val="en-US"/>
              </w:rPr>
              <w:t xml:space="preserve">raining </w:t>
            </w:r>
            <w:r w:rsidR="004B5128">
              <w:rPr>
                <w:rFonts w:cstheme="minorHAnsi"/>
                <w:lang w:val="en-US"/>
              </w:rPr>
              <w:t>Network</w:t>
            </w:r>
            <w:r w:rsidR="004B5128" w:rsidRPr="009F5C5E">
              <w:rPr>
                <w:rFonts w:cstheme="minorHAnsi"/>
                <w:lang w:val="en-US"/>
              </w:rPr>
              <w:t xml:space="preserve"> </w:t>
            </w:r>
            <w:r w:rsidRPr="009F5C5E">
              <w:rPr>
                <w:rFonts w:cstheme="minorHAnsi"/>
                <w:lang w:val="en-US"/>
              </w:rPr>
              <w:t xml:space="preserve">for 15 Early Stage Researchers (ESRs). Key innovative aspects of INSPIRE include: i) in vitro humanized cardiomyocytes assays ii) unparalleled in vivo hardware/software solutions iii) in silico predictions of </w:t>
            </w:r>
            <w:proofErr w:type="spellStart"/>
            <w:r w:rsidRPr="009F5C5E">
              <w:rPr>
                <w:rFonts w:cstheme="minorHAnsi"/>
                <w:lang w:val="en-US"/>
              </w:rPr>
              <w:t>haemodynamics</w:t>
            </w:r>
            <w:proofErr w:type="spellEnd"/>
            <w:r w:rsidRPr="009F5C5E">
              <w:rPr>
                <w:rFonts w:cstheme="minorHAnsi"/>
                <w:lang w:val="en-US"/>
              </w:rPr>
              <w:t xml:space="preserve"> iv) mass spectroscopy imaging of drug exposure v) exploration of mechanisms of late-onset CV toxicity, as observed in cardio-oncology, and vi) early integration of feedback from industry and regulators. </w:t>
            </w:r>
          </w:p>
          <w:p w14:paraId="3DF2661B" w14:textId="23AC245F" w:rsidR="00361554" w:rsidRDefault="00361554" w:rsidP="00361554">
            <w:pPr>
              <w:jc w:val="both"/>
              <w:rPr>
                <w:rFonts w:cstheme="minorHAnsi"/>
                <w:lang w:val="en-US"/>
              </w:rPr>
            </w:pPr>
            <w:r w:rsidRPr="009F5C5E">
              <w:rPr>
                <w:rFonts w:cstheme="minorHAnsi"/>
                <w:lang w:val="en-US"/>
              </w:rPr>
              <w:t xml:space="preserve">INSPIRE constitutes a multidisciplinary </w:t>
            </w:r>
            <w:r w:rsidR="004B5128">
              <w:rPr>
                <w:rFonts w:cstheme="minorHAnsi"/>
                <w:lang w:val="en-US"/>
              </w:rPr>
              <w:t>Innovative Training Network (ITN)</w:t>
            </w:r>
            <w:r w:rsidRPr="009F5C5E">
              <w:rPr>
                <w:rFonts w:cstheme="minorHAnsi"/>
                <w:lang w:val="en-US"/>
              </w:rPr>
              <w:t xml:space="preserve"> with a balanced combination of hands-on research training, intersectoral secondments, local courses and network-wide events on scientific and transferable skills, enabling future R&amp;I collaborations.</w:t>
            </w:r>
            <w:r w:rsidR="004B5128">
              <w:rPr>
                <w:rFonts w:cstheme="minorHAnsi"/>
                <w:lang w:val="en-US"/>
              </w:rPr>
              <w:t xml:space="preserve"> </w:t>
            </w:r>
            <w:r w:rsidRPr="009F5C5E">
              <w:rPr>
                <w:rFonts w:cstheme="minorHAnsi"/>
                <w:lang w:val="en-US"/>
              </w:rPr>
              <w:t xml:space="preserve">INSPIRE will equip the </w:t>
            </w:r>
            <w:r w:rsidR="004B5128">
              <w:rPr>
                <w:rFonts w:cstheme="minorHAnsi"/>
                <w:lang w:val="en-US"/>
              </w:rPr>
              <w:t>next</w:t>
            </w:r>
            <w:r w:rsidR="004B5128" w:rsidRPr="009F5C5E">
              <w:rPr>
                <w:rFonts w:cstheme="minorHAnsi"/>
                <w:lang w:val="en-US"/>
              </w:rPr>
              <w:t xml:space="preserve"> </w:t>
            </w:r>
            <w:r w:rsidRPr="009F5C5E">
              <w:rPr>
                <w:rFonts w:cstheme="minorHAnsi"/>
                <w:lang w:val="en-US"/>
              </w:rPr>
              <w:t xml:space="preserve">generation of </w:t>
            </w:r>
            <w:r w:rsidR="004B5128" w:rsidRPr="009F5C5E">
              <w:rPr>
                <w:rFonts w:cstheme="minorHAnsi"/>
                <w:lang w:val="en-US"/>
              </w:rPr>
              <w:t xml:space="preserve">Safety Pharmacology </w:t>
            </w:r>
            <w:r w:rsidRPr="009F5C5E">
              <w:rPr>
                <w:rFonts w:cstheme="minorHAnsi"/>
                <w:lang w:val="en-US"/>
              </w:rPr>
              <w:t xml:space="preserve">scientists with a wide range of scientific knowledge and the ability to adapt to a dynamic industry. </w:t>
            </w:r>
          </w:p>
          <w:p w14:paraId="174401F6" w14:textId="77777777" w:rsidR="0047132D" w:rsidRPr="009F5C5E" w:rsidRDefault="0047132D" w:rsidP="00361554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E87C3C" w:rsidRPr="00E87C3C" w14:paraId="709C8491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12736954" w14:textId="77777777" w:rsidR="00E87C3C" w:rsidRPr="0047132D" w:rsidRDefault="00E87C3C" w:rsidP="00E87C3C">
            <w:pPr>
              <w:jc w:val="center"/>
              <w:rPr>
                <w:rFonts w:cstheme="minorHAnsi"/>
                <w:b/>
                <w:color w:val="F2F2F2" w:themeColor="background1" w:themeShade="F2"/>
                <w:lang w:val="en-GB"/>
              </w:rPr>
            </w:pPr>
            <w:r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Description of </w:t>
            </w:r>
            <w:r w:rsidR="00D80A5A"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the </w:t>
            </w:r>
            <w:r w:rsidRPr="0047132D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PhD project</w:t>
            </w:r>
          </w:p>
        </w:tc>
      </w:tr>
      <w:tr w:rsidR="009F5C5E" w:rsidRPr="00E87C3C" w14:paraId="4611C77B" w14:textId="77777777" w:rsidTr="009F4D16"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6B2B3" w14:textId="77777777" w:rsidR="0047132D" w:rsidRDefault="0047132D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35258F8" w14:textId="77777777" w:rsidR="009F5C5E" w:rsidRDefault="009F5C5E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5C5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Scientific Objectives:</w:t>
            </w:r>
            <w:r w:rsidRPr="009F5C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92BD0B3" w14:textId="77777777" w:rsidR="0047132D" w:rsidRPr="009F5C5E" w:rsidRDefault="0047132D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659D37B" w14:textId="55D6A5BE" w:rsidR="00101716" w:rsidRPr="00101716" w:rsidRDefault="00101716" w:rsidP="00EF634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Develop preclinical screen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</w:t>
            </w:r>
            <w:r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in safety pharmacology for detection of CV effects, using ‘failed’ clinical candidates.</w:t>
            </w:r>
          </w:p>
          <w:p w14:paraId="6D88F3AA" w14:textId="492C87C0" w:rsidR="00101716" w:rsidRPr="00101716" w:rsidRDefault="00101716" w:rsidP="00EF634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Utilise novel Doppler flowmetry models and telemetry to establish whether safety liabilities could have been predicted using more in-depth CV preclinical evaluations.</w:t>
            </w:r>
          </w:p>
          <w:p w14:paraId="0C74C560" w14:textId="7FCBD162" w:rsidR="009F5C5E" w:rsidRPr="00101716" w:rsidRDefault="009F5C5E" w:rsidP="00101716">
            <w:pPr>
              <w:pStyle w:val="NormalWeb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Apply this </w:t>
            </w:r>
            <w:r w:rsidR="00101716"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information</w:t>
            </w:r>
            <w:r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to </w:t>
            </w:r>
            <w:r w:rsidR="00101716" w:rsidRPr="0010171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investigate whether novel markers can be derived from the arterial pressure waveform that correlate to drug-induced effects at the vascular level.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4B476" w14:textId="77777777" w:rsidR="0047132D" w:rsidRDefault="0047132D" w:rsidP="009F5C5E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sz w:val="22"/>
                <w:szCs w:val="22"/>
              </w:rPr>
            </w:pPr>
          </w:p>
          <w:p w14:paraId="734C02BB" w14:textId="1D5E910E" w:rsidR="009F5C5E" w:rsidRPr="009F5C5E" w:rsidRDefault="00101716" w:rsidP="009F5C5E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FEF8D31" wp14:editId="5AB34226">
                  <wp:extent cx="1786781" cy="1961686"/>
                  <wp:effectExtent l="133350" t="114300" r="137795" b="17208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10" cy="19913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3C" w:rsidRPr="00E87C3C" w14:paraId="49F2A244" w14:textId="77777777" w:rsidTr="009F4D16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single" w:sz="4" w:space="0" w:color="1F3864" w:themeColor="accent5" w:themeShade="80"/>
              <w:right w:val="single" w:sz="4" w:space="0" w:color="auto"/>
            </w:tcBorders>
          </w:tcPr>
          <w:p w14:paraId="331E83CA" w14:textId="77777777" w:rsidR="00E87C3C" w:rsidRDefault="00E87C3C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F634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Tasks and Responsibilities</w:t>
            </w:r>
            <w:r w:rsidR="009F5C5E" w:rsidRPr="00EF634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34B2A883" w14:textId="77777777" w:rsidR="0047132D" w:rsidRPr="00EF6346" w:rsidRDefault="0047132D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4F7720C" w14:textId="6C53A2FD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9F5C5E" w:rsidRPr="001D52F1">
              <w:rPr>
                <w:rFonts w:cstheme="minorHAnsi"/>
                <w:lang w:val="en-US"/>
              </w:rPr>
              <w:t xml:space="preserve">erform independently scientific research within a collaborative international research consortium (training network). </w:t>
            </w:r>
          </w:p>
          <w:p w14:paraId="63DF02A2" w14:textId="3271423C" w:rsidR="009F5C5E" w:rsidRPr="001D52F1" w:rsidRDefault="004B5128" w:rsidP="0047132D">
            <w:pPr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</w:t>
            </w:r>
            <w:r w:rsidR="009F5C5E" w:rsidRPr="001D52F1">
              <w:rPr>
                <w:rFonts w:cstheme="minorHAnsi"/>
                <w:lang w:val="en-GB"/>
              </w:rPr>
              <w:t>eliver written reports of your research on a regular basis</w:t>
            </w:r>
          </w:p>
          <w:p w14:paraId="7D74FD9B" w14:textId="3E06D2E9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9F5C5E" w:rsidRPr="001D52F1">
              <w:rPr>
                <w:rFonts w:cstheme="minorHAnsi"/>
                <w:lang w:val="en-US"/>
              </w:rPr>
              <w:t>repare a doctoral thesis on the topic of arterial stiffness as potential marker for safety pharmacology.</w:t>
            </w:r>
          </w:p>
          <w:p w14:paraId="0C320DB6" w14:textId="26D609B1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9F5C5E" w:rsidRPr="001D52F1">
              <w:rPr>
                <w:rFonts w:cstheme="minorHAnsi"/>
                <w:lang w:val="en-US"/>
              </w:rPr>
              <w:t>ublish scientific articles related to the research project of the assignment.</w:t>
            </w:r>
          </w:p>
          <w:p w14:paraId="7744AFE4" w14:textId="770778BF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>C</w:t>
            </w:r>
            <w:r w:rsidR="009F5C5E" w:rsidRPr="001D52F1">
              <w:rPr>
                <w:rFonts w:cstheme="minorHAnsi"/>
                <w:lang w:val="en-US"/>
              </w:rPr>
              <w:t>ontribute to teaching activities</w:t>
            </w:r>
            <w:r>
              <w:rPr>
                <w:rFonts w:cstheme="minorHAnsi"/>
                <w:lang w:val="en-US"/>
              </w:rPr>
              <w:t xml:space="preserve"> if required by your PhD</w:t>
            </w:r>
            <w:r w:rsidR="009F5C5E" w:rsidRPr="001D52F1">
              <w:rPr>
                <w:rFonts w:cstheme="minorHAnsi"/>
                <w:lang w:val="en-US"/>
              </w:rPr>
              <w:t xml:space="preserve">. </w:t>
            </w:r>
          </w:p>
          <w:p w14:paraId="211CC78C" w14:textId="370C3DF8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>S</w:t>
            </w:r>
            <w:r w:rsidR="009F5C5E" w:rsidRPr="001D52F1">
              <w:rPr>
                <w:rFonts w:cstheme="minorHAnsi"/>
                <w:lang w:val="en-US"/>
              </w:rPr>
              <w:t xml:space="preserve">upport </w:t>
            </w:r>
            <w:r w:rsidR="00BB6CE5" w:rsidRPr="001D52F1">
              <w:rPr>
                <w:rFonts w:cstheme="minorHAnsi"/>
                <w:lang w:val="en-US"/>
              </w:rPr>
              <w:t>the valorization of research results into tangible deliverables</w:t>
            </w:r>
            <w:r>
              <w:rPr>
                <w:rFonts w:cstheme="minorHAnsi"/>
                <w:lang w:val="en-US"/>
              </w:rPr>
              <w:t xml:space="preserve"> if required.</w:t>
            </w:r>
          </w:p>
          <w:p w14:paraId="68201A4D" w14:textId="2C1C8DE3" w:rsidR="009F5C5E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>P</w:t>
            </w:r>
            <w:r w:rsidR="009F5C5E" w:rsidRPr="001D52F1">
              <w:rPr>
                <w:rFonts w:cstheme="minorHAnsi"/>
                <w:lang w:val="en-US"/>
              </w:rPr>
              <w:t xml:space="preserve">articipate </w:t>
            </w:r>
            <w:r>
              <w:rPr>
                <w:rFonts w:cstheme="minorHAnsi"/>
                <w:lang w:val="en-US"/>
              </w:rPr>
              <w:t>in</w:t>
            </w:r>
            <w:r w:rsidRPr="001D52F1">
              <w:rPr>
                <w:rFonts w:cstheme="minorHAnsi"/>
                <w:lang w:val="en-US"/>
              </w:rPr>
              <w:t xml:space="preserve"> </w:t>
            </w:r>
            <w:r w:rsidR="009F5C5E" w:rsidRPr="001D52F1">
              <w:rPr>
                <w:rFonts w:cstheme="minorHAnsi"/>
                <w:lang w:val="en-US"/>
              </w:rPr>
              <w:t>scientific meetings and conferences to present your research to the scientific community.</w:t>
            </w:r>
          </w:p>
          <w:p w14:paraId="329DF103" w14:textId="5E7C0E9C" w:rsidR="00E87C3C" w:rsidRPr="001D52F1" w:rsidRDefault="004B5128" w:rsidP="0047132D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</w:t>
            </w:r>
            <w:r w:rsidR="009F5C5E" w:rsidRPr="001D52F1">
              <w:rPr>
                <w:rFonts w:cstheme="minorHAnsi"/>
                <w:lang w:val="en-GB"/>
              </w:rPr>
              <w:t xml:space="preserve">ctively participate in outreach activities aimed to promote your scientific research to a wider audience. </w:t>
            </w:r>
          </w:p>
          <w:p w14:paraId="7033CF49" w14:textId="10E22094" w:rsidR="00D80A5A" w:rsidRPr="00EF6346" w:rsidRDefault="00E32391" w:rsidP="0047132D">
            <w:pPr>
              <w:pStyle w:val="ListParagraph"/>
              <w:numPr>
                <w:ilvl w:val="0"/>
                <w:numId w:val="11"/>
              </w:numPr>
              <w:spacing w:before="0" w:after="160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Collaborate</w:t>
            </w:r>
            <w:r w:rsidR="00E87C3C" w:rsidRPr="001D52F1">
              <w:rPr>
                <w:rFonts w:cstheme="minorHAnsi"/>
                <w:sz w:val="22"/>
                <w:szCs w:val="22"/>
                <w:lang w:val="en-GB"/>
              </w:rPr>
              <w:t xml:space="preserve"> with the other members of </w:t>
            </w:r>
            <w:r>
              <w:rPr>
                <w:rFonts w:cstheme="minorHAnsi"/>
                <w:sz w:val="22"/>
                <w:szCs w:val="22"/>
                <w:lang w:val="en-GB"/>
              </w:rPr>
              <w:t>the</w:t>
            </w:r>
            <w:r w:rsidRPr="001D52F1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E87C3C" w:rsidRPr="001D52F1">
              <w:rPr>
                <w:rFonts w:cstheme="minorHAnsi"/>
                <w:sz w:val="22"/>
                <w:szCs w:val="22"/>
                <w:lang w:val="en-GB"/>
              </w:rPr>
              <w:t xml:space="preserve">international consortium </w:t>
            </w:r>
            <w:r>
              <w:rPr>
                <w:rFonts w:cstheme="minorHAnsi"/>
                <w:sz w:val="22"/>
                <w:szCs w:val="22"/>
                <w:lang w:val="en-GB"/>
              </w:rPr>
              <w:t>to</w:t>
            </w:r>
            <w:r w:rsidRPr="001D52F1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>maximise</w:t>
            </w:r>
            <w:r w:rsidRPr="001D52F1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E87C3C" w:rsidRPr="001D52F1">
              <w:rPr>
                <w:rFonts w:cstheme="minorHAnsi"/>
                <w:sz w:val="22"/>
                <w:szCs w:val="22"/>
                <w:lang w:val="en-GB"/>
              </w:rPr>
              <w:t>benefit from t</w:t>
            </w:r>
            <w:r w:rsidR="00BB6CE5" w:rsidRPr="001D52F1">
              <w:rPr>
                <w:rFonts w:cstheme="minorHAnsi"/>
                <w:sz w:val="22"/>
                <w:szCs w:val="22"/>
                <w:lang w:val="en-GB"/>
              </w:rPr>
              <w:t>he</w:t>
            </w:r>
            <w:r w:rsidR="00E87C3C" w:rsidRPr="001D52F1">
              <w:rPr>
                <w:rFonts w:cstheme="minorHAnsi"/>
                <w:sz w:val="22"/>
                <w:szCs w:val="22"/>
                <w:lang w:val="en-GB"/>
              </w:rPr>
              <w:t xml:space="preserve"> tailored</w:t>
            </w:r>
            <w:r w:rsidR="00E87C3C" w:rsidRPr="00EF6346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ESR </w:t>
            </w:r>
            <w:r w:rsidR="00E87C3C" w:rsidRPr="00EF6346">
              <w:rPr>
                <w:rFonts w:cstheme="minorHAnsi"/>
                <w:sz w:val="22"/>
                <w:szCs w:val="22"/>
                <w:lang w:val="en-GB"/>
              </w:rPr>
              <w:t>training programme.</w:t>
            </w:r>
          </w:p>
          <w:p w14:paraId="0EA42380" w14:textId="13116C23" w:rsidR="0047132D" w:rsidRPr="0047132D" w:rsidRDefault="00E32391" w:rsidP="0047132D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lastRenderedPageBreak/>
              <w:t>T</w:t>
            </w:r>
            <w:r w:rsidR="00E87C3C" w:rsidRPr="00EF6346">
              <w:rPr>
                <w:rFonts w:cstheme="minorHAnsi"/>
                <w:sz w:val="22"/>
                <w:szCs w:val="22"/>
                <w:lang w:val="en-GB"/>
              </w:rPr>
              <w:t xml:space="preserve">ake part in 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at least </w:t>
            </w:r>
            <w:r w:rsidR="00E87C3C" w:rsidRPr="00EF6346">
              <w:rPr>
                <w:rFonts w:cstheme="minorHAnsi"/>
                <w:sz w:val="22"/>
                <w:szCs w:val="22"/>
                <w:lang w:val="en-GB"/>
              </w:rPr>
              <w:t>the following planned secondments</w:t>
            </w:r>
            <w:r w:rsidR="00E87C3C" w:rsidRPr="00971A0C">
              <w:rPr>
                <w:rFonts w:cstheme="minorHAnsi"/>
                <w:sz w:val="22"/>
                <w:szCs w:val="22"/>
                <w:lang w:val="en-GB"/>
              </w:rPr>
              <w:t>:</w:t>
            </w:r>
            <w:r w:rsidR="00BB6CE5" w:rsidRPr="00971A0C">
              <w:rPr>
                <w:rFonts w:cstheme="minorHAnsi"/>
                <w:sz w:val="22"/>
                <w:szCs w:val="22"/>
                <w:lang w:val="en-GB"/>
              </w:rPr>
              <w:t xml:space="preserve"> 1. </w:t>
            </w:r>
            <w:r w:rsidR="00E87C3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Industrial secondment to </w:t>
            </w:r>
            <w:proofErr w:type="spellStart"/>
            <w:r w:rsidR="00E87C3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>Vivonics</w:t>
            </w:r>
            <w:proofErr w:type="spellEnd"/>
            <w:r w:rsidR="00E87C3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(1 month) to learn about principles of GLP and </w:t>
            </w:r>
            <w:r w:rsidR="00971A0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>workflows and a further 6 months for telemetry studies</w:t>
            </w:r>
            <w:r w:rsidR="00E87C3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. </w:t>
            </w:r>
            <w:r w:rsidR="00BB6CE5" w:rsidRPr="00971A0C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2. </w:t>
            </w:r>
            <w:r w:rsidR="00971A0C" w:rsidRPr="00971A0C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Industrial secondment to AstraZeneca (1 week) to visit facilities, establish collaborations. </w:t>
            </w:r>
          </w:p>
        </w:tc>
      </w:tr>
      <w:tr w:rsidR="00E87C3C" w:rsidRPr="002A1B9D" w14:paraId="6EE0859A" w14:textId="77777777" w:rsidTr="009F4D16">
        <w:tc>
          <w:tcPr>
            <w:tcW w:w="10730" w:type="dxa"/>
            <w:gridSpan w:val="4"/>
            <w:tcBorders>
              <w:top w:val="single" w:sz="4" w:space="0" w:color="1F3864" w:themeColor="accent5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7C47F074" w14:textId="2FA74CB5" w:rsidR="00E87C3C" w:rsidRPr="006F43DE" w:rsidRDefault="00E87C3C" w:rsidP="00E87C3C">
            <w:pPr>
              <w:jc w:val="center"/>
              <w:rPr>
                <w:rFonts w:cstheme="minorHAnsi"/>
                <w:b/>
                <w:lang w:val="en-US"/>
              </w:rPr>
            </w:pPr>
            <w:r w:rsidRPr="006F43DE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lastRenderedPageBreak/>
              <w:t xml:space="preserve">About the </w:t>
            </w:r>
            <w:r w:rsidR="006F43DE" w:rsidRPr="006F43DE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University of Nottingham</w:t>
            </w:r>
            <w:r w:rsidRPr="006F43DE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="006F43DE" w:rsidRPr="006F43DE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Haemodynamics</w:t>
            </w:r>
            <w:proofErr w:type="spellEnd"/>
            <w:r w:rsidRPr="006F43DE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 xml:space="preserve"> Research Group</w:t>
            </w:r>
          </w:p>
        </w:tc>
      </w:tr>
      <w:tr w:rsidR="00E87C3C" w:rsidRPr="00E87C3C" w14:paraId="3490CA07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0E5E8" w14:textId="316D7CD7" w:rsidR="005673FC" w:rsidRPr="002F2BD6" w:rsidRDefault="00EF6346" w:rsidP="002F2B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Haemodynamics</w:t>
            </w:r>
            <w:proofErr w:type="spellEnd"/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Research Group </w:t>
            </w: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led by Prof. Jeanette Woolard</w:t>
            </w: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 is embedded in the Faculty of Medicine and Health Sciences</w:t>
            </w:r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at the University of Nottingham</w:t>
            </w: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Her team collaborates with academic and industrial partners across the </w:t>
            </w:r>
            <w:proofErr w:type="gramStart"/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world, and</w:t>
            </w:r>
            <w:proofErr w:type="gramEnd"/>
            <w:r w:rsidR="006F43DE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is actively engaged with a number of centres of excellence, including COMPARE (Centre of Membrane Proteins and Receptors), the Centre of Biomolecular Sciences and Pain Centre Versus Arthritis. This research group has a track record in the field of cardiovascular pharmacology and physiology, such as examining the haemodynamic effects of anti-cancer therapies. More information about Prof Woolard and her team’s research interests are available at </w:t>
            </w:r>
            <w:hyperlink r:id="rId9" w:history="1">
              <w:r w:rsidR="006F43DE" w:rsidRPr="002F2B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https://www.nottingham.ac.uk/life-sciences/people/jeanette.woolard</w:t>
              </w:r>
            </w:hyperlink>
            <w:r w:rsidR="006F43DE" w:rsidRPr="002F2BD6">
              <w:rPr>
                <w:rFonts w:asciiTheme="minorHAnsi" w:hAnsiTheme="minorHAnsi" w:cstheme="minorHAnsi"/>
                <w:sz w:val="22"/>
                <w:szCs w:val="22"/>
              </w:rPr>
              <w:t>. The University of Nottingham</w:t>
            </w:r>
            <w:r w:rsidR="006F4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BD6">
              <w:rPr>
                <w:rFonts w:asciiTheme="minorHAnsi" w:hAnsiTheme="minorHAnsi" w:cstheme="minorHAnsi"/>
                <w:sz w:val="22"/>
                <w:szCs w:val="22"/>
              </w:rPr>
              <w:t xml:space="preserve">focuses on developing talented, passionate and dedicated people, as they strive to make important discoveries that have a real impact on lives and societies across the world. At the heart of that vision are the diversity of people attracted to our collaborative and inclusive research environment; supported and encouraged to realise their potential while delivering excellent research. </w:t>
            </w:r>
          </w:p>
        </w:tc>
      </w:tr>
      <w:tr w:rsidR="00E87C3C" w:rsidRPr="00E87C3C" w14:paraId="5CDDEEA6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31A332BB" w14:textId="77777777" w:rsidR="00E87C3C" w:rsidRPr="001D52F1" w:rsidRDefault="00E87C3C" w:rsidP="00E87C3C">
            <w:pPr>
              <w:jc w:val="center"/>
              <w:rPr>
                <w:rFonts w:cstheme="minorHAnsi"/>
                <w:b/>
                <w:lang w:val="en-US"/>
              </w:rPr>
            </w:pPr>
            <w:r w:rsidRPr="001D52F1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Profile &amp; requirements</w:t>
            </w:r>
          </w:p>
        </w:tc>
      </w:tr>
      <w:tr w:rsidR="00E87C3C" w:rsidRPr="00E87C3C" w14:paraId="6BD2D017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316B" w14:textId="3D5FFF36" w:rsidR="00E87C3C" w:rsidRPr="002F2BD6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1D52F1">
              <w:rPr>
                <w:rFonts w:eastAsia="Times New Roman" w:cstheme="minorHAnsi"/>
                <w:lang w:val="en-GB" w:eastAsia="nl-BE"/>
              </w:rPr>
              <w:t xml:space="preserve">Applicants must </w:t>
            </w:r>
            <w:r w:rsidRPr="002F2BD6">
              <w:rPr>
                <w:rFonts w:eastAsia="Times New Roman" w:cstheme="minorHAnsi"/>
                <w:lang w:val="en-GB" w:eastAsia="nl-BE"/>
              </w:rPr>
              <w:t>hold a MSc or equivalent in the field of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 xml:space="preserve"> </w:t>
            </w:r>
            <w:r w:rsidR="002F2BD6" w:rsidRPr="002F2BD6">
              <w:rPr>
                <w:rFonts w:eastAsia="Times New Roman" w:cstheme="minorHAnsi"/>
                <w:lang w:val="en-GB" w:eastAsia="nl-BE"/>
              </w:rPr>
              <w:t>Pharmacology, Physiology or Life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 xml:space="preserve"> Scien</w:t>
            </w:r>
            <w:r w:rsidR="0047132D" w:rsidRPr="002F2BD6">
              <w:rPr>
                <w:rFonts w:eastAsia="Times New Roman" w:cstheme="minorHAnsi"/>
                <w:lang w:val="en-GB" w:eastAsia="nl-BE"/>
              </w:rPr>
              <w:t>ces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>.</w:t>
            </w:r>
          </w:p>
          <w:p w14:paraId="6689AAEA" w14:textId="77777777" w:rsidR="00E87C3C" w:rsidRPr="002F2BD6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2F2BD6">
              <w:rPr>
                <w:rFonts w:eastAsia="Times New Roman" w:cstheme="minorHAnsi"/>
                <w:lang w:val="en-GB" w:eastAsia="nl-BE"/>
              </w:rPr>
              <w:t xml:space="preserve">Applicants 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>must have a solid knowledge of cardiovascular (</w:t>
            </w:r>
            <w:proofErr w:type="spellStart"/>
            <w:r w:rsidR="00EF6346" w:rsidRPr="002F2BD6">
              <w:rPr>
                <w:rFonts w:eastAsia="Times New Roman" w:cstheme="minorHAnsi"/>
                <w:lang w:val="en-GB" w:eastAsia="nl-BE"/>
              </w:rPr>
              <w:t>patho</w:t>
            </w:r>
            <w:proofErr w:type="spellEnd"/>
            <w:r w:rsidR="00EF6346" w:rsidRPr="002F2BD6">
              <w:rPr>
                <w:rFonts w:eastAsia="Times New Roman" w:cstheme="minorHAnsi"/>
                <w:lang w:val="en-GB" w:eastAsia="nl-BE"/>
              </w:rPr>
              <w:t>)physiology and methods for investigating this.</w:t>
            </w:r>
          </w:p>
          <w:p w14:paraId="4A6EB311" w14:textId="1E6E35FC" w:rsidR="00E87C3C" w:rsidRPr="001D52F1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2F2BD6">
              <w:rPr>
                <w:rFonts w:eastAsia="Times New Roman" w:cstheme="minorHAnsi"/>
                <w:lang w:val="en-GB" w:eastAsia="nl-BE"/>
              </w:rPr>
              <w:t>Appli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>cants can be of any nationality, but have to comply with the “</w:t>
            </w:r>
            <w:r w:rsidR="00E32391">
              <w:rPr>
                <w:rFonts w:eastAsia="Times New Roman" w:cstheme="minorHAnsi"/>
                <w:lang w:val="en-GB" w:eastAsia="nl-BE"/>
              </w:rPr>
              <w:t xml:space="preserve">MSCA </w:t>
            </w:r>
            <w:r w:rsidR="00EF6346" w:rsidRPr="002F2BD6">
              <w:rPr>
                <w:rFonts w:eastAsia="Times New Roman" w:cstheme="minorHAnsi"/>
                <w:lang w:val="en-GB" w:eastAsia="nl-BE"/>
              </w:rPr>
              <w:t xml:space="preserve">Mobility </w:t>
            </w:r>
            <w:proofErr w:type="gramStart"/>
            <w:r w:rsidR="00EF6346" w:rsidRPr="002F2BD6">
              <w:rPr>
                <w:rFonts w:eastAsia="Times New Roman" w:cstheme="minorHAnsi"/>
                <w:lang w:val="en-GB" w:eastAsia="nl-BE"/>
              </w:rPr>
              <w:t>Rule</w:t>
            </w:r>
            <w:r w:rsidR="00EF6346" w:rsidRPr="001D52F1">
              <w:rPr>
                <w:rFonts w:eastAsia="Times New Roman" w:cstheme="minorHAnsi"/>
                <w:lang w:val="en-GB" w:eastAsia="nl-BE"/>
              </w:rPr>
              <w:t xml:space="preserve"> ”</w:t>
            </w:r>
            <w:proofErr w:type="gramEnd"/>
            <w:r w:rsidR="00EF6346" w:rsidRPr="001D52F1">
              <w:rPr>
                <w:rFonts w:eastAsia="Times New Roman" w:cstheme="minorHAnsi"/>
                <w:lang w:val="en-GB" w:eastAsia="nl-BE"/>
              </w:rPr>
              <w:t>.</w:t>
            </w:r>
          </w:p>
          <w:p w14:paraId="13D867C6" w14:textId="77777777" w:rsidR="00E87C3C" w:rsidRPr="001D52F1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1D52F1">
              <w:rPr>
                <w:rFonts w:eastAsia="Times New Roman" w:cstheme="minorHAnsi"/>
                <w:lang w:val="en-GB" w:eastAsia="nl-BE"/>
              </w:rPr>
              <w:t>Applicants must have an ability to understand and express themselves in both written and spoken English to a level that is sufficiently high for them to derive the full benefit from the network training.</w:t>
            </w:r>
          </w:p>
          <w:p w14:paraId="7011CD2D" w14:textId="77777777" w:rsidR="00E87C3C" w:rsidRPr="001D52F1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1D52F1">
              <w:rPr>
                <w:rFonts w:eastAsia="Times New Roman" w:cstheme="minorHAnsi"/>
                <w:lang w:val="en-GB" w:eastAsia="nl-BE"/>
              </w:rPr>
              <w:t>Applicants must be eligible to enrol on a PhD programme at the host institution (or at a designated university, in case the host institution is a non-academic organisation).</w:t>
            </w:r>
          </w:p>
          <w:p w14:paraId="75F924AA" w14:textId="77777777" w:rsidR="00E87C3C" w:rsidRPr="001D52F1" w:rsidRDefault="00E87C3C" w:rsidP="00E87C3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lang w:val="en-GB" w:eastAsia="nl-BE"/>
              </w:rPr>
            </w:pPr>
            <w:r w:rsidRPr="001D52F1">
              <w:rPr>
                <w:rFonts w:eastAsia="Times New Roman" w:cstheme="minorHAnsi"/>
                <w:lang w:val="en-GB" w:eastAsia="nl-BE"/>
              </w:rPr>
              <w:t>Applicants must have the necessary academic skills and background to make the success of a doctoral degree.</w:t>
            </w:r>
          </w:p>
          <w:p w14:paraId="72008E8F" w14:textId="77777777" w:rsidR="00E87C3C" w:rsidRPr="001D52F1" w:rsidRDefault="00E87C3C" w:rsidP="00E87C3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0" w:after="160"/>
              <w:jc w:val="both"/>
              <w:rPr>
                <w:rFonts w:eastAsia="Times New Roman" w:cstheme="minorHAnsi"/>
                <w:sz w:val="22"/>
                <w:szCs w:val="22"/>
                <w:lang w:val="en-GB" w:eastAsia="nl-BE"/>
              </w:rPr>
            </w:pPr>
            <w:r w:rsidRPr="001D52F1">
              <w:rPr>
                <w:rFonts w:eastAsia="Times New Roman" w:cstheme="minorHAnsi"/>
                <w:b/>
                <w:i/>
                <w:sz w:val="22"/>
                <w:szCs w:val="22"/>
                <w:lang w:val="en-GB" w:eastAsia="nl-BE"/>
              </w:rPr>
              <w:t>H2020 MSCA Mobility Rule</w:t>
            </w:r>
            <w:r w:rsidRPr="001D52F1">
              <w:rPr>
                <w:rFonts w:eastAsia="Times New Roman" w:cstheme="minorHAnsi"/>
                <w:sz w:val="22"/>
                <w:szCs w:val="22"/>
                <w:lang w:val="en-GB" w:eastAsia="nl-BE"/>
              </w:rPr>
              <w:t xml:space="preserve">: researchers must not have resided or carried out their main activity (work, studies, etc.) in the country of the host organisation for more than 12 months in the 3 years immediately before the recruitment date. Compulsory national service, short stays such as holidays, and time spent as part of a procedure for obtaining refugee status are not </w:t>
            </w:r>
            <w:proofErr w:type="gramStart"/>
            <w:r w:rsidRPr="001D52F1">
              <w:rPr>
                <w:rFonts w:eastAsia="Times New Roman" w:cstheme="minorHAnsi"/>
                <w:sz w:val="22"/>
                <w:szCs w:val="22"/>
                <w:lang w:val="en-GB" w:eastAsia="nl-BE"/>
              </w:rPr>
              <w:t>taken into account</w:t>
            </w:r>
            <w:proofErr w:type="gramEnd"/>
            <w:r w:rsidRPr="001D52F1">
              <w:rPr>
                <w:rFonts w:eastAsia="Times New Roman" w:cstheme="minorHAnsi"/>
                <w:sz w:val="22"/>
                <w:szCs w:val="22"/>
                <w:lang w:val="en-GB" w:eastAsia="nl-BE"/>
              </w:rPr>
              <w:t>.</w:t>
            </w:r>
          </w:p>
          <w:p w14:paraId="1A69E715" w14:textId="77777777" w:rsidR="00E87C3C" w:rsidRPr="001D52F1" w:rsidRDefault="00E87C3C" w:rsidP="00EF63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0" w:after="0"/>
              <w:jc w:val="both"/>
              <w:rPr>
                <w:rFonts w:eastAsia="Times New Roman" w:cstheme="minorHAnsi"/>
                <w:sz w:val="22"/>
                <w:szCs w:val="22"/>
                <w:lang w:val="en-GB" w:eastAsia="nl-BE"/>
              </w:rPr>
            </w:pPr>
            <w:r w:rsidRPr="001D52F1">
              <w:rPr>
                <w:rFonts w:eastAsia="Times New Roman" w:cstheme="minorHAnsi"/>
                <w:b/>
                <w:i/>
                <w:sz w:val="22"/>
                <w:szCs w:val="22"/>
                <w:lang w:val="en-GB" w:eastAsia="nl-BE"/>
              </w:rPr>
              <w:t>H2020 MSCA eligibility criteria</w:t>
            </w:r>
            <w:r w:rsidRPr="001D52F1">
              <w:rPr>
                <w:rFonts w:eastAsia="Times New Roman" w:cstheme="minorHAnsi"/>
                <w:sz w:val="22"/>
                <w:szCs w:val="22"/>
                <w:lang w:val="en-GB" w:eastAsia="nl-BE"/>
              </w:rPr>
              <w:t>: Early Stage Researchers (ESRs) must be, at the date of recruitment by the host organisation, in the first four years (full-time equivalent research experience) of their research careers and have not been awarded a doctoral degree. Full-Time Equivalent Research Experience is measured from the date when the researcher obtained the degree entitling him/her to embark on a doctorate (either in the country in which the degree was obtained or in the country in which the researcher is recruited, even if a doctorate was never started or envisaged).</w:t>
            </w:r>
          </w:p>
        </w:tc>
      </w:tr>
      <w:tr w:rsidR="00E87C3C" w:rsidRPr="00E87C3C" w14:paraId="5C3FA3BA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1185FCCB" w14:textId="77777777" w:rsidR="00E87C3C" w:rsidRPr="00E87C3C" w:rsidRDefault="00E87C3C" w:rsidP="00E87C3C">
            <w:pPr>
              <w:jc w:val="center"/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</w:pPr>
            <w:r w:rsidRPr="00E87C3C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Benefits</w:t>
            </w:r>
          </w:p>
        </w:tc>
      </w:tr>
      <w:tr w:rsidR="00E87C3C" w:rsidRPr="00E87C3C" w14:paraId="35AB015E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90851" w14:textId="0519D207" w:rsidR="00E87C3C" w:rsidRPr="00EF6346" w:rsidRDefault="00E87C3C" w:rsidP="00EF634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selected candidate will be employed by the </w:t>
            </w:r>
            <w:r w:rsidR="00E3239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recruiting beneficiary</w:t>
            </w:r>
            <w:r w:rsidR="00E32391"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 for 36 months.</w:t>
            </w:r>
          </w:p>
          <w:p w14:paraId="0E40B491" w14:textId="77777777" w:rsidR="00E87C3C" w:rsidRPr="00EF6346" w:rsidRDefault="00E87C3C" w:rsidP="00EF634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 competitive salary plus allowances. Moreover, funding is available for technical and personal skills training and participation in international research events.</w:t>
            </w:r>
          </w:p>
          <w:p w14:paraId="635BC76F" w14:textId="7A0DC073" w:rsidR="00E87C3C" w:rsidRPr="00EF6346" w:rsidRDefault="00E87C3C" w:rsidP="00EF634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selected candidate will benefit from the designed training programme offered by the host organisation and the</w:t>
            </w:r>
            <w:r w:rsidR="00E3239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international</w:t>
            </w: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INSPIRE consortium.</w:t>
            </w:r>
          </w:p>
          <w:p w14:paraId="52FEE655" w14:textId="77777777" w:rsidR="00E87C3C" w:rsidRPr="00EF6346" w:rsidRDefault="00E87C3C" w:rsidP="00EF634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selected candidate will participate in international secondments to other organisations within the INSPIRE network and in outreach activities targeted at a wide audience.</w:t>
            </w:r>
          </w:p>
          <w:p w14:paraId="17D73222" w14:textId="77777777" w:rsidR="00E87C3C" w:rsidRPr="00E87C3C" w:rsidRDefault="00E87C3C" w:rsidP="00EF6346">
            <w:pPr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</w:pPr>
            <w:r w:rsidRPr="00EF6346">
              <w:rPr>
                <w:rFonts w:cstheme="minorHAnsi"/>
                <w:lang w:val="en-GB"/>
              </w:rPr>
              <w:t xml:space="preserve">Please, find additional information in the </w:t>
            </w:r>
            <w:hyperlink r:id="rId10" w:history="1">
              <w:r w:rsidRPr="00EF6346">
                <w:rPr>
                  <w:rStyle w:val="Hyperlink"/>
                  <w:rFonts w:cstheme="minorHAnsi"/>
                  <w:i/>
                  <w:lang w:val="en-GB"/>
                </w:rPr>
                <w:t>Information note for Marie Skłodowska-Curie ITN fellows</w:t>
              </w:r>
            </w:hyperlink>
          </w:p>
        </w:tc>
      </w:tr>
      <w:tr w:rsidR="00E87C3C" w:rsidRPr="00E87C3C" w14:paraId="1414C77E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7C6043C5" w14:textId="77777777" w:rsidR="00E87C3C" w:rsidRPr="00E87C3C" w:rsidRDefault="00E87C3C" w:rsidP="00EF6346">
            <w:pPr>
              <w:jc w:val="center"/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</w:pPr>
            <w:r w:rsidRPr="00E87C3C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Application</w:t>
            </w:r>
          </w:p>
        </w:tc>
      </w:tr>
      <w:tr w:rsidR="00E87C3C" w:rsidRPr="00E87C3C" w14:paraId="3B13BB79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5E80A" w14:textId="62BCAF4D" w:rsidR="00E87C3C" w:rsidRPr="00EF6346" w:rsidRDefault="00E87C3C" w:rsidP="00EF6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0" w:name="_GoBack"/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Interested candidates are invited to apply for this position by filing in the application form on our website (</w:t>
            </w:r>
            <w:hyperlink r:id="rId11" w:history="1">
              <w:r w:rsidRPr="00EF634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www.inspire-safety-pharmacology.eu</w:t>
              </w:r>
            </w:hyperlink>
            <w:r w:rsidRPr="00EF63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via this link: </w:t>
            </w:r>
            <w:hyperlink r:id="rId12" w:history="1">
              <w:r w:rsidRPr="00EF634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https://www.uantwerpen.be/en/projects/inspire-safety-pharmacology/job-openings/submit-your-applicat/</w:t>
              </w:r>
            </w:hyperlink>
            <w:r w:rsidRP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F63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bookmarkEnd w:id="0"/>
          </w:p>
        </w:tc>
      </w:tr>
      <w:tr w:rsidR="00E87C3C" w:rsidRPr="00E87C3C" w14:paraId="0632F1AF" w14:textId="77777777" w:rsidTr="0047132D">
        <w:tc>
          <w:tcPr>
            <w:tcW w:w="107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7F0BE3E6" w14:textId="677A314A" w:rsidR="00E87C3C" w:rsidRPr="00E87C3C" w:rsidRDefault="0047132D" w:rsidP="0047132D">
            <w:pPr>
              <w:jc w:val="center"/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For a</w:t>
            </w:r>
            <w:r w:rsidR="00E87C3C" w:rsidRPr="00E87C3C">
              <w:rPr>
                <w:rFonts w:cstheme="minorHAnsi"/>
                <w:b/>
                <w:color w:val="F2F2F2" w:themeColor="background1" w:themeShade="F2"/>
                <w:sz w:val="28"/>
                <w:szCs w:val="28"/>
                <w:lang w:val="en-GB"/>
              </w:rPr>
              <w:t>dditional information</w:t>
            </w:r>
          </w:p>
        </w:tc>
      </w:tr>
      <w:tr w:rsidR="00E87C3C" w:rsidRPr="00E87C3C" w14:paraId="7D182AA0" w14:textId="77777777" w:rsidTr="0047132D"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6E7541" w14:textId="336D9D22" w:rsidR="0047132D" w:rsidRPr="002F2BD6" w:rsidRDefault="0047132D" w:rsidP="0047132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Prof. </w:t>
            </w:r>
            <w:r w:rsidR="002F2BD6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Jeanette Woolard</w:t>
            </w:r>
          </w:p>
          <w:p w14:paraId="07951EAD" w14:textId="7C0A703F" w:rsidR="00E87C3C" w:rsidRPr="002F2BD6" w:rsidRDefault="0047132D" w:rsidP="0047132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Email: </w:t>
            </w:r>
            <w:hyperlink r:id="rId13" w:history="1">
              <w:r w:rsidR="002F2BD6" w:rsidRPr="002F2BD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jeanette.woolard@nottingham.ac.uk</w:t>
              </w:r>
            </w:hyperlink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EC6813A" w14:textId="14AFA584" w:rsidR="0047132D" w:rsidRPr="00E87C3C" w:rsidRDefault="0047132D" w:rsidP="0047132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Phone: +</w:t>
            </w:r>
            <w:r w:rsidR="002F2BD6" w:rsidRPr="002F2BD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44 (0)115 823 1481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8789F" w14:textId="74F3B754" w:rsidR="00E87C3C" w:rsidRPr="00E87C3C" w:rsidRDefault="00D24461" w:rsidP="0047132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BA5795" wp14:editId="72B3DAC5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11430</wp:posOffset>
                  </wp:positionV>
                  <wp:extent cx="1169035" cy="562610"/>
                  <wp:effectExtent l="0" t="0" r="0" b="8890"/>
                  <wp:wrapTight wrapText="bothSides">
                    <wp:wrapPolygon edited="0">
                      <wp:start x="0" y="0"/>
                      <wp:lineTo x="0" y="21210"/>
                      <wp:lineTo x="21119" y="21210"/>
                      <wp:lineTo x="21119" y="0"/>
                      <wp:lineTo x="0" y="0"/>
                    </wp:wrapPolygon>
                  </wp:wrapTight>
                  <wp:docPr id="4" name="Picture 4" descr="Image result for university of nottingh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niversity of nottingh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C3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0CDA322" wp14:editId="2A9A19A4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33020</wp:posOffset>
                  </wp:positionV>
                  <wp:extent cx="462915" cy="462915"/>
                  <wp:effectExtent l="0" t="0" r="0" b="0"/>
                  <wp:wrapTight wrapText="bothSides">
                    <wp:wrapPolygon edited="0">
                      <wp:start x="0" y="0"/>
                      <wp:lineTo x="0" y="20444"/>
                      <wp:lineTo x="20444" y="20444"/>
                      <wp:lineTo x="20444" y="0"/>
                      <wp:lineTo x="0" y="0"/>
                    </wp:wrapPolygon>
                  </wp:wrapTight>
                  <wp:docPr id="2" name="Afbeelding 2" descr="C:\Users\PYanez\Desktop\IT-DED3\Website\Vacatures\S4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Yanez\Desktop\IT-DED3\Website\Vacatures\S4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BD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71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</w:t>
            </w:r>
          </w:p>
        </w:tc>
      </w:tr>
    </w:tbl>
    <w:p w14:paraId="2328252D" w14:textId="04A29B8F" w:rsidR="00413944" w:rsidRPr="00E87C3C" w:rsidRDefault="007467C7" w:rsidP="0047132D">
      <w:pPr>
        <w:rPr>
          <w:rFonts w:cstheme="minorHAnsi"/>
          <w:lang w:val="en-US"/>
        </w:rPr>
      </w:pPr>
    </w:p>
    <w:sectPr w:rsidR="00413944" w:rsidRPr="00E87C3C" w:rsidSect="007F06EE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F936" w14:textId="77777777" w:rsidR="007C7285" w:rsidRDefault="007C7285" w:rsidP="007F06EE">
      <w:pPr>
        <w:spacing w:after="0" w:line="240" w:lineRule="auto"/>
      </w:pPr>
      <w:r>
        <w:separator/>
      </w:r>
    </w:p>
  </w:endnote>
  <w:endnote w:type="continuationSeparator" w:id="0">
    <w:p w14:paraId="1181BE47" w14:textId="77777777" w:rsidR="007C7285" w:rsidRDefault="007C7285" w:rsidP="007F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E24B" w14:textId="77777777" w:rsidR="007C7285" w:rsidRDefault="007C7285" w:rsidP="007F06EE">
      <w:pPr>
        <w:spacing w:after="0" w:line="240" w:lineRule="auto"/>
      </w:pPr>
      <w:r>
        <w:separator/>
      </w:r>
    </w:p>
  </w:footnote>
  <w:footnote w:type="continuationSeparator" w:id="0">
    <w:p w14:paraId="2BC62CE1" w14:textId="77777777" w:rsidR="007C7285" w:rsidRDefault="007C7285" w:rsidP="007F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06C3" w14:textId="77777777" w:rsidR="00B40F15" w:rsidRDefault="00304600" w:rsidP="00B40F15">
    <w:pPr>
      <w:pStyle w:val="Header"/>
      <w:jc w:val="right"/>
      <w:rPr>
        <w:rFonts w:ascii="Arial" w:hAnsi="Arial" w:cs="Arial"/>
        <w:bCs/>
        <w:i/>
        <w:sz w:val="18"/>
        <w:szCs w:val="18"/>
        <w:lang w:val="en-GB"/>
      </w:rPr>
    </w:pPr>
    <w:r w:rsidRPr="00B40F15">
      <w:rPr>
        <w:rFonts w:ascii="Arial" w:hAnsi="Arial" w:cs="Arial"/>
        <w:bCs/>
        <w:i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0F180CE3" wp14:editId="28B32AB8">
          <wp:simplePos x="0" y="0"/>
          <wp:positionH relativeFrom="margin">
            <wp:posOffset>6179820</wp:posOffset>
          </wp:positionH>
          <wp:positionV relativeFrom="margin">
            <wp:posOffset>-556260</wp:posOffset>
          </wp:positionV>
          <wp:extent cx="539115" cy="359410"/>
          <wp:effectExtent l="0" t="0" r="0" b="2540"/>
          <wp:wrapSquare wrapText="bothSides"/>
          <wp:docPr id="3" name="Afbeelding 3" descr="Image result for europea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uropean uni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0F15" w:rsidRPr="00B40F15">
      <w:rPr>
        <w:rFonts w:ascii="Arial" w:hAnsi="Arial" w:cs="Arial"/>
        <w:bCs/>
        <w:i/>
        <w:sz w:val="18"/>
        <w:szCs w:val="18"/>
        <w:lang w:val="en-GB"/>
      </w:rPr>
      <w:t xml:space="preserve">INSPIRE receives </w:t>
    </w:r>
    <w:r w:rsidR="007F06EE" w:rsidRPr="005C7D5D">
      <w:rPr>
        <w:rFonts w:ascii="Arial" w:hAnsi="Arial" w:cs="Arial"/>
        <w:bCs/>
        <w:i/>
        <w:sz w:val="18"/>
        <w:szCs w:val="18"/>
        <w:lang w:val="en-GB"/>
      </w:rPr>
      <w:t xml:space="preserve">funding from the </w:t>
    </w:r>
    <w:r w:rsidR="00B40F15">
      <w:rPr>
        <w:rFonts w:ascii="Arial" w:hAnsi="Arial" w:cs="Arial"/>
        <w:bCs/>
        <w:i/>
        <w:sz w:val="18"/>
        <w:szCs w:val="18"/>
        <w:lang w:val="en-GB"/>
      </w:rPr>
      <w:t>EU</w:t>
    </w:r>
    <w:r w:rsidR="007F06EE" w:rsidRPr="005C7D5D">
      <w:rPr>
        <w:rFonts w:ascii="Arial" w:hAnsi="Arial" w:cs="Arial"/>
        <w:bCs/>
        <w:i/>
        <w:sz w:val="18"/>
        <w:szCs w:val="18"/>
        <w:lang w:val="en-GB"/>
      </w:rPr>
      <w:t xml:space="preserve"> Horizon 2020 research and innovation </w:t>
    </w:r>
  </w:p>
  <w:p w14:paraId="204D39A3" w14:textId="77777777" w:rsidR="007F06EE" w:rsidRDefault="00B40F15" w:rsidP="007F06EE">
    <w:pPr>
      <w:pStyle w:val="Header"/>
      <w:jc w:val="right"/>
      <w:rPr>
        <w:rFonts w:ascii="Arial" w:hAnsi="Arial" w:cs="Arial"/>
        <w:bCs/>
        <w:i/>
        <w:noProof/>
        <w:sz w:val="18"/>
        <w:szCs w:val="18"/>
        <w:lang w:val="en-US" w:eastAsia="nl-BE"/>
      </w:rPr>
    </w:pPr>
    <w:r>
      <w:rPr>
        <w:rFonts w:ascii="Arial" w:hAnsi="Arial" w:cs="Arial"/>
        <w:bCs/>
        <w:i/>
        <w:sz w:val="18"/>
        <w:szCs w:val="18"/>
        <w:lang w:val="en-GB"/>
      </w:rPr>
      <w:t>p</w:t>
    </w:r>
    <w:r w:rsidR="007F06EE" w:rsidRPr="005C7D5D">
      <w:rPr>
        <w:rFonts w:ascii="Arial" w:hAnsi="Arial" w:cs="Arial"/>
        <w:bCs/>
        <w:i/>
        <w:sz w:val="18"/>
        <w:szCs w:val="18"/>
        <w:lang w:val="en-GB"/>
      </w:rPr>
      <w:t>rogramme</w:t>
    </w:r>
    <w:r>
      <w:rPr>
        <w:rFonts w:ascii="Arial" w:hAnsi="Arial" w:cs="Arial"/>
        <w:bCs/>
        <w:i/>
        <w:sz w:val="18"/>
        <w:szCs w:val="18"/>
        <w:lang w:val="en-GB"/>
      </w:rPr>
      <w:t xml:space="preserve"> </w:t>
    </w:r>
    <w:r w:rsidR="007F06EE" w:rsidRPr="005C7D5D">
      <w:rPr>
        <w:rFonts w:ascii="Arial" w:hAnsi="Arial" w:cs="Arial"/>
        <w:bCs/>
        <w:i/>
        <w:sz w:val="18"/>
        <w:szCs w:val="18"/>
        <w:lang w:val="en-GB"/>
      </w:rPr>
      <w:t xml:space="preserve">under the Marie Skłodowska-Curie grant agreement No </w:t>
    </w:r>
    <w:r w:rsidR="007C39BB" w:rsidRPr="007C39BB">
      <w:rPr>
        <w:rFonts w:ascii="Arial" w:hAnsi="Arial" w:cs="Arial"/>
        <w:bCs/>
        <w:i/>
        <w:sz w:val="18"/>
        <w:szCs w:val="18"/>
        <w:lang w:val="en-GB"/>
      </w:rPr>
      <w:t>858070</w:t>
    </w:r>
    <w:r w:rsidR="00304600" w:rsidRPr="00304600">
      <w:rPr>
        <w:rFonts w:ascii="Arial" w:hAnsi="Arial" w:cs="Arial"/>
        <w:bCs/>
        <w:i/>
        <w:noProof/>
        <w:sz w:val="18"/>
        <w:szCs w:val="18"/>
        <w:lang w:val="en-US" w:eastAsia="nl-BE"/>
      </w:rPr>
      <w:t xml:space="preserve"> </w:t>
    </w:r>
  </w:p>
  <w:p w14:paraId="4DA8F10A" w14:textId="77777777" w:rsidR="00304600" w:rsidRDefault="00304600" w:rsidP="007F06EE">
    <w:pPr>
      <w:pStyle w:val="Header"/>
      <w:jc w:val="right"/>
      <w:rPr>
        <w:rFonts w:ascii="Arial" w:hAnsi="Arial" w:cs="Arial"/>
        <w:bCs/>
        <w:i/>
        <w:noProof/>
        <w:sz w:val="18"/>
        <w:szCs w:val="18"/>
        <w:lang w:val="en-US" w:eastAsia="nl-BE"/>
      </w:rPr>
    </w:pPr>
  </w:p>
  <w:p w14:paraId="6533E9C4" w14:textId="77777777" w:rsidR="00304600" w:rsidRDefault="00304600" w:rsidP="007F06EE">
    <w:pPr>
      <w:pStyle w:val="Header"/>
      <w:jc w:val="right"/>
      <w:rPr>
        <w:rFonts w:ascii="Arial" w:hAnsi="Arial" w:cs="Arial"/>
        <w:bCs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795130E"/>
    <w:multiLevelType w:val="hybridMultilevel"/>
    <w:tmpl w:val="52AAD6C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E7DD0"/>
    <w:multiLevelType w:val="hybridMultilevel"/>
    <w:tmpl w:val="EF088DF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97E35"/>
    <w:multiLevelType w:val="hybridMultilevel"/>
    <w:tmpl w:val="F4CAB03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F31D9"/>
    <w:multiLevelType w:val="hybridMultilevel"/>
    <w:tmpl w:val="33023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2FE3"/>
    <w:multiLevelType w:val="hybridMultilevel"/>
    <w:tmpl w:val="A926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609D6"/>
    <w:multiLevelType w:val="hybridMultilevel"/>
    <w:tmpl w:val="212CE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21E2"/>
    <w:multiLevelType w:val="hybridMultilevel"/>
    <w:tmpl w:val="1988D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86D6A"/>
    <w:multiLevelType w:val="hybridMultilevel"/>
    <w:tmpl w:val="21D408F2"/>
    <w:lvl w:ilvl="0" w:tplc="BB36A9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12DDE"/>
    <w:multiLevelType w:val="hybridMultilevel"/>
    <w:tmpl w:val="B04AA914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E6D9B"/>
    <w:multiLevelType w:val="hybridMultilevel"/>
    <w:tmpl w:val="6A7E01B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D17A05"/>
    <w:multiLevelType w:val="multilevel"/>
    <w:tmpl w:val="B0D6B2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EE"/>
    <w:rsid w:val="00051DAD"/>
    <w:rsid w:val="00101716"/>
    <w:rsid w:val="00126C00"/>
    <w:rsid w:val="00157973"/>
    <w:rsid w:val="001D52F1"/>
    <w:rsid w:val="002A1B9D"/>
    <w:rsid w:val="002A2FD5"/>
    <w:rsid w:val="002A6599"/>
    <w:rsid w:val="002F2BD6"/>
    <w:rsid w:val="00304600"/>
    <w:rsid w:val="0035307A"/>
    <w:rsid w:val="00361554"/>
    <w:rsid w:val="003C7D8B"/>
    <w:rsid w:val="003E7A99"/>
    <w:rsid w:val="00404F89"/>
    <w:rsid w:val="0041164B"/>
    <w:rsid w:val="0047132D"/>
    <w:rsid w:val="004778D6"/>
    <w:rsid w:val="004B5128"/>
    <w:rsid w:val="004F5DD4"/>
    <w:rsid w:val="00503DAD"/>
    <w:rsid w:val="005673FC"/>
    <w:rsid w:val="00647003"/>
    <w:rsid w:val="006F2997"/>
    <w:rsid w:val="006F43DE"/>
    <w:rsid w:val="007467C7"/>
    <w:rsid w:val="007A098E"/>
    <w:rsid w:val="007C39BB"/>
    <w:rsid w:val="007C7285"/>
    <w:rsid w:val="007F06EE"/>
    <w:rsid w:val="00832396"/>
    <w:rsid w:val="008819AB"/>
    <w:rsid w:val="00902975"/>
    <w:rsid w:val="00941782"/>
    <w:rsid w:val="00971A0C"/>
    <w:rsid w:val="00973FB9"/>
    <w:rsid w:val="009B5E70"/>
    <w:rsid w:val="009E7269"/>
    <w:rsid w:val="009F4D16"/>
    <w:rsid w:val="009F5C5E"/>
    <w:rsid w:val="00A30BFD"/>
    <w:rsid w:val="00A9733F"/>
    <w:rsid w:val="00AC0D42"/>
    <w:rsid w:val="00B40F15"/>
    <w:rsid w:val="00BB1ACB"/>
    <w:rsid w:val="00BB6CE5"/>
    <w:rsid w:val="00C20456"/>
    <w:rsid w:val="00C47150"/>
    <w:rsid w:val="00D24461"/>
    <w:rsid w:val="00D462FF"/>
    <w:rsid w:val="00D60B6C"/>
    <w:rsid w:val="00D80A5A"/>
    <w:rsid w:val="00DF31A3"/>
    <w:rsid w:val="00E32391"/>
    <w:rsid w:val="00E87C3C"/>
    <w:rsid w:val="00EF6346"/>
    <w:rsid w:val="00F30EF2"/>
    <w:rsid w:val="00FE173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94E0DD"/>
  <w15:chartTrackingRefBased/>
  <w15:docId w15:val="{CFFDB91A-6212-4388-A3EC-FB4EA0B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6EE"/>
  </w:style>
  <w:style w:type="paragraph" w:styleId="Footer">
    <w:name w:val="footer"/>
    <w:basedOn w:val="Normal"/>
    <w:link w:val="FooterChar"/>
    <w:uiPriority w:val="99"/>
    <w:unhideWhenUsed/>
    <w:rsid w:val="007F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EE"/>
  </w:style>
  <w:style w:type="paragraph" w:styleId="NormalWeb">
    <w:name w:val="Normal (Web)"/>
    <w:basedOn w:val="Normal"/>
    <w:uiPriority w:val="99"/>
    <w:unhideWhenUsed/>
    <w:rsid w:val="00FE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DefaultParagraphFont"/>
    <w:uiPriority w:val="99"/>
    <w:unhideWhenUsed/>
    <w:rsid w:val="00FE17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735"/>
    <w:pPr>
      <w:spacing w:before="80" w:after="80" w:line="240" w:lineRule="auto"/>
      <w:ind w:left="720"/>
      <w:contextualSpacing/>
    </w:pPr>
    <w:rPr>
      <w:rFonts w:eastAsiaTheme="minorEastAsia"/>
      <w:sz w:val="20"/>
      <w:szCs w:val="20"/>
    </w:rPr>
  </w:style>
  <w:style w:type="character" w:styleId="Strong">
    <w:name w:val="Strong"/>
    <w:basedOn w:val="DefaultParagraphFont"/>
    <w:uiPriority w:val="22"/>
    <w:qFormat/>
    <w:rsid w:val="008819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B9D"/>
    <w:rPr>
      <w:b/>
      <w:bCs/>
      <w:sz w:val="20"/>
      <w:szCs w:val="20"/>
    </w:rPr>
  </w:style>
  <w:style w:type="paragraph" w:customStyle="1" w:styleId="Default">
    <w:name w:val="Default"/>
    <w:rsid w:val="00C20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eanette.woolard@nottingham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antwerpen.be/en/projects/inspire-safety-pharmacology/job-openings/submit-your-applic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pire-safety-pharmacology.e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google.com/url?sa=t&amp;rct=j&amp;q=&amp;esrc=s&amp;source=web&amp;cd=2&amp;ved=2ahUKEwirxdzAk5blAhUBuHEKHUtTBtUQFjABegQIBhAC&amp;url=https%3A%2F%2Fec.europa.eu%2Fresearch%2Fmariecurieactions%2Fsites%2Fmariecurie2%2Ffiles%2Fmsca-itn-fellows-note_en_v2.pdf&amp;usg=AOvVaw1BiXrVUGWZNdz67tfOL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.ac.uk/life-sciences/people/jeanette.woolard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Yanez</dc:creator>
  <cp:keywords/>
  <dc:description/>
  <cp:lastModifiedBy>Paul Wysocki</cp:lastModifiedBy>
  <cp:revision>4</cp:revision>
  <cp:lastPrinted>2019-10-29T08:23:00Z</cp:lastPrinted>
  <dcterms:created xsi:type="dcterms:W3CDTF">2019-11-26T12:08:00Z</dcterms:created>
  <dcterms:modified xsi:type="dcterms:W3CDTF">2020-01-08T16:59:00Z</dcterms:modified>
</cp:coreProperties>
</file>